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D3" w:rsidRDefault="00A735D3" w:rsidP="00A735D3">
      <w:pPr>
        <w:spacing w:line="231" w:lineRule="auto"/>
        <w:ind w:left="2127"/>
        <w:jc w:val="right"/>
        <w:rPr>
          <w:i/>
          <w:sz w:val="17"/>
        </w:rPr>
      </w:pPr>
      <w:bookmarkStart w:id="0" w:name="page1"/>
      <w:bookmarkEnd w:id="0"/>
      <w:r>
        <w:rPr>
          <w:i/>
          <w:sz w:val="17"/>
        </w:rPr>
        <w:t>Z</w:t>
      </w:r>
      <w:r w:rsidR="003E060F">
        <w:rPr>
          <w:i/>
          <w:sz w:val="17"/>
        </w:rPr>
        <w:t>ałącznik nr 2</w:t>
      </w:r>
      <w:r>
        <w:rPr>
          <w:i/>
          <w:sz w:val="17"/>
        </w:rPr>
        <w:t xml:space="preserve"> </w:t>
      </w:r>
    </w:p>
    <w:p w:rsidR="00054A29" w:rsidRDefault="00A735D3" w:rsidP="00054A29">
      <w:pPr>
        <w:spacing w:line="0" w:lineRule="atLeast"/>
        <w:ind w:left="1224"/>
        <w:jc w:val="right"/>
        <w:rPr>
          <w:i/>
          <w:sz w:val="18"/>
        </w:rPr>
      </w:pPr>
      <w:r>
        <w:rPr>
          <w:i/>
          <w:sz w:val="17"/>
        </w:rPr>
        <w:t xml:space="preserve"> </w:t>
      </w:r>
      <w:r w:rsidR="00054A29">
        <w:rPr>
          <w:i/>
          <w:sz w:val="18"/>
        </w:rPr>
        <w:t xml:space="preserve">do ogłoszenia </w:t>
      </w:r>
      <w:r w:rsidR="00054A29">
        <w:rPr>
          <w:i/>
          <w:sz w:val="18"/>
          <w:szCs w:val="18"/>
        </w:rPr>
        <w:t>o naborze Partnerów</w:t>
      </w:r>
      <w:r w:rsidR="00054A29" w:rsidRPr="0076476B">
        <w:rPr>
          <w:i/>
          <w:sz w:val="18"/>
          <w:szCs w:val="18"/>
        </w:rPr>
        <w:t xml:space="preserve"> do realizacji projektu </w:t>
      </w:r>
      <w:proofErr w:type="spellStart"/>
      <w:r w:rsidR="00054A29" w:rsidRPr="004B5D73">
        <w:rPr>
          <w:i/>
          <w:sz w:val="18"/>
          <w:szCs w:val="18"/>
        </w:rPr>
        <w:t>Medical</w:t>
      </w:r>
      <w:proofErr w:type="spellEnd"/>
      <w:r w:rsidR="00054A29" w:rsidRPr="004B5D73">
        <w:rPr>
          <w:i/>
          <w:sz w:val="18"/>
          <w:szCs w:val="18"/>
        </w:rPr>
        <w:t xml:space="preserve"> Science Park – </w:t>
      </w:r>
      <w:proofErr w:type="spellStart"/>
      <w:r w:rsidR="00054A29" w:rsidRPr="004B5D73">
        <w:rPr>
          <w:i/>
          <w:sz w:val="18"/>
          <w:szCs w:val="18"/>
        </w:rPr>
        <w:t>stem</w:t>
      </w:r>
      <w:proofErr w:type="spellEnd"/>
      <w:r w:rsidR="00054A29" w:rsidRPr="004B5D73">
        <w:rPr>
          <w:i/>
          <w:sz w:val="18"/>
          <w:szCs w:val="18"/>
        </w:rPr>
        <w:t xml:space="preserve"> </w:t>
      </w:r>
      <w:proofErr w:type="spellStart"/>
      <w:r w:rsidR="00054A29" w:rsidRPr="004B5D73">
        <w:rPr>
          <w:i/>
          <w:sz w:val="18"/>
          <w:szCs w:val="18"/>
        </w:rPr>
        <w:t>cells</w:t>
      </w:r>
      <w:proofErr w:type="spellEnd"/>
      <w:r w:rsidR="00054A29" w:rsidRPr="004B5D73">
        <w:rPr>
          <w:i/>
          <w:sz w:val="18"/>
          <w:szCs w:val="18"/>
        </w:rPr>
        <w:t xml:space="preserve"> </w:t>
      </w:r>
      <w:proofErr w:type="spellStart"/>
      <w:r w:rsidR="00054A29" w:rsidRPr="004B5D73">
        <w:rPr>
          <w:i/>
          <w:sz w:val="18"/>
          <w:szCs w:val="18"/>
        </w:rPr>
        <w:t>our</w:t>
      </w:r>
      <w:proofErr w:type="spellEnd"/>
      <w:r w:rsidR="00054A29" w:rsidRPr="004B5D73">
        <w:rPr>
          <w:i/>
          <w:sz w:val="18"/>
          <w:szCs w:val="18"/>
        </w:rPr>
        <w:t xml:space="preserve"> </w:t>
      </w:r>
      <w:proofErr w:type="spellStart"/>
      <w:r w:rsidR="00054A29" w:rsidRPr="004B5D73">
        <w:rPr>
          <w:i/>
          <w:sz w:val="18"/>
          <w:szCs w:val="18"/>
        </w:rPr>
        <w:t>future</w:t>
      </w:r>
      <w:proofErr w:type="spellEnd"/>
    </w:p>
    <w:p w:rsidR="00A735D3" w:rsidRDefault="00A735D3" w:rsidP="00A735D3">
      <w:pPr>
        <w:spacing w:line="231" w:lineRule="auto"/>
        <w:ind w:left="2127"/>
        <w:jc w:val="right"/>
        <w:rPr>
          <w:i/>
          <w:noProof/>
          <w:sz w:val="18"/>
          <w:szCs w:val="18"/>
        </w:rPr>
      </w:pPr>
    </w:p>
    <w:p w:rsidR="00A735D3" w:rsidRDefault="00A735D3" w:rsidP="00A735D3">
      <w:pPr>
        <w:spacing w:line="231" w:lineRule="auto"/>
        <w:ind w:left="2900"/>
        <w:jc w:val="right"/>
        <w:rPr>
          <w:i/>
          <w:noProof/>
          <w:sz w:val="18"/>
          <w:szCs w:val="18"/>
        </w:rPr>
      </w:pPr>
    </w:p>
    <w:p w:rsidR="00A735D3" w:rsidRDefault="00A735D3" w:rsidP="00A735D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rPr>
          <w:i/>
          <w:noProof/>
          <w:sz w:val="18"/>
          <w:szCs w:val="18"/>
        </w:rPr>
      </w:pPr>
      <w:r>
        <w:rPr>
          <w:i/>
          <w:noProof/>
          <w:sz w:val="18"/>
          <w:szCs w:val="18"/>
        </w:rPr>
        <w:drawing>
          <wp:inline distT="0" distB="0" distL="0" distR="0">
            <wp:extent cx="1666875" cy="771525"/>
            <wp:effectExtent l="19050" t="0" r="9525" b="0"/>
            <wp:docPr id="1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8"/>
          <w:szCs w:val="18"/>
        </w:rPr>
        <w:t xml:space="preserve">                    </w:t>
      </w:r>
      <w:r>
        <w:rPr>
          <w:i/>
          <w:noProof/>
          <w:sz w:val="18"/>
          <w:szCs w:val="18"/>
        </w:rPr>
        <w:drawing>
          <wp:inline distT="0" distB="0" distL="0" distR="0">
            <wp:extent cx="552450" cy="771525"/>
            <wp:effectExtent l="19050" t="0" r="0" b="0"/>
            <wp:docPr id="2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8"/>
          <w:szCs w:val="18"/>
        </w:rPr>
        <w:t xml:space="preserve">                    </w:t>
      </w:r>
      <w:r>
        <w:rPr>
          <w:i/>
          <w:noProof/>
          <w:sz w:val="18"/>
          <w:szCs w:val="18"/>
        </w:rPr>
        <w:drawing>
          <wp:inline distT="0" distB="0" distL="0" distR="0">
            <wp:extent cx="2352675" cy="771525"/>
            <wp:effectExtent l="19050" t="0" r="9525" b="0"/>
            <wp:docPr id="3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5D3" w:rsidRDefault="00A735D3" w:rsidP="00A735D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0" w:lineRule="atLeast"/>
        <w:ind w:left="224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DEKLARACJA WSPÓŁPRACY</w:t>
      </w:r>
    </w:p>
    <w:p w:rsidR="00A735D3" w:rsidRDefault="00A735D3" w:rsidP="00A735D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331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………………………………………………………………………………………………….</w:t>
      </w:r>
    </w:p>
    <w:p w:rsidR="00A735D3" w:rsidRDefault="00A735D3" w:rsidP="00A735D3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239" w:lineRule="auto"/>
        <w:ind w:left="2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(nazwa podmiotu – potencjalnego partnera projektu)</w:t>
      </w:r>
    </w:p>
    <w:p w:rsidR="00A735D3" w:rsidRDefault="00A735D3" w:rsidP="00A735D3">
      <w:pPr>
        <w:spacing w:line="239" w:lineRule="auto"/>
        <w:ind w:left="2360"/>
        <w:rPr>
          <w:rFonts w:ascii="Times New Roman" w:eastAsia="Times New Roman" w:hAnsi="Times New Roman"/>
        </w:rPr>
      </w:pPr>
    </w:p>
    <w:p w:rsidR="00A735D3" w:rsidRDefault="00A735D3" w:rsidP="00A735D3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356" w:lineRule="auto"/>
        <w:ind w:right="6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zgłasza gotowość do udziału w realizacji projektu </w:t>
      </w:r>
      <w:proofErr w:type="spellStart"/>
      <w:r w:rsidRPr="0027298B">
        <w:rPr>
          <w:rFonts w:ascii="Times New Roman" w:hAnsi="Times New Roman" w:cs="Times New Roman"/>
          <w:b/>
          <w:sz w:val="24"/>
          <w:szCs w:val="24"/>
        </w:rPr>
        <w:t>Medical</w:t>
      </w:r>
      <w:proofErr w:type="spellEnd"/>
      <w:r w:rsidRPr="0027298B">
        <w:rPr>
          <w:rFonts w:ascii="Times New Roman" w:hAnsi="Times New Roman" w:cs="Times New Roman"/>
          <w:b/>
          <w:sz w:val="24"/>
          <w:szCs w:val="24"/>
        </w:rPr>
        <w:t xml:space="preserve"> Science Park – </w:t>
      </w:r>
      <w:proofErr w:type="spellStart"/>
      <w:r w:rsidRPr="0027298B">
        <w:rPr>
          <w:rFonts w:ascii="Times New Roman" w:hAnsi="Times New Roman" w:cs="Times New Roman"/>
          <w:b/>
          <w:sz w:val="24"/>
          <w:szCs w:val="24"/>
        </w:rPr>
        <w:t>stem</w:t>
      </w:r>
      <w:proofErr w:type="spellEnd"/>
      <w:r w:rsidRPr="002729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98B">
        <w:rPr>
          <w:rFonts w:ascii="Times New Roman" w:hAnsi="Times New Roman" w:cs="Times New Roman"/>
          <w:b/>
          <w:sz w:val="24"/>
          <w:szCs w:val="24"/>
        </w:rPr>
        <w:t>cells</w:t>
      </w:r>
      <w:proofErr w:type="spellEnd"/>
      <w:r w:rsidRPr="002729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98B">
        <w:rPr>
          <w:rFonts w:ascii="Times New Roman" w:hAnsi="Times New Roman" w:cs="Times New Roman"/>
          <w:b/>
          <w:sz w:val="24"/>
          <w:szCs w:val="24"/>
        </w:rPr>
        <w:t>our</w:t>
      </w:r>
      <w:proofErr w:type="spellEnd"/>
      <w:r w:rsidRPr="002729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98B">
        <w:rPr>
          <w:rFonts w:ascii="Times New Roman" w:hAnsi="Times New Roman" w:cs="Times New Roman"/>
          <w:b/>
          <w:sz w:val="24"/>
          <w:szCs w:val="24"/>
        </w:rPr>
        <w:t>future</w:t>
      </w:r>
      <w:proofErr w:type="spellEnd"/>
      <w:r w:rsidRPr="002729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298B">
        <w:rPr>
          <w:rFonts w:ascii="Times New Roman" w:hAnsi="Times New Roman" w:cs="Times New Roman"/>
          <w:sz w:val="24"/>
          <w:szCs w:val="24"/>
        </w:rPr>
        <w:t>współfinansowanego przez Unię Europejską ze środków Europejskiego Funduszu Rozwoju Regionalnego, w ramach Regionalnego Programu Operacyjnego Województwa Świętokrzyskiego 2014-2020, Oś Priorytetowa 1. Innowacje i nauka, Działanie 1.1 Wsparcie infrastruktury B+R</w:t>
      </w:r>
      <w:r w:rsidRPr="002729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35D3" w:rsidRDefault="00A735D3" w:rsidP="00A735D3">
      <w:pPr>
        <w:spacing w:line="22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348" w:lineRule="auto"/>
        <w:ind w:right="64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Tym samym zobowiązujemy się do podpisania porozumienia / umowy partnerskiej z Beneficjentem działającym w imieniu i na rzecz partnerów, czyli Województw</w:t>
      </w:r>
      <w:r w:rsidR="003E060F">
        <w:rPr>
          <w:rFonts w:ascii="Times New Roman" w:eastAsia="Times New Roman" w:hAnsi="Times New Roman"/>
          <w:sz w:val="24"/>
        </w:rPr>
        <w:t>o Świętokrzyski - Regionalne</w:t>
      </w:r>
      <w:r w:rsidR="00F65EE7">
        <w:rPr>
          <w:rFonts w:ascii="Times New Roman" w:eastAsia="Times New Roman" w:hAnsi="Times New Roman"/>
          <w:sz w:val="24"/>
        </w:rPr>
        <w:t xml:space="preserve"> Centrum Naukowo </w:t>
      </w:r>
      <w:r w:rsidR="003E060F">
        <w:rPr>
          <w:rFonts w:ascii="Times New Roman" w:eastAsia="Times New Roman" w:hAnsi="Times New Roman"/>
          <w:sz w:val="24"/>
        </w:rPr>
        <w:t>- Technologiczne</w:t>
      </w:r>
      <w:r>
        <w:rPr>
          <w:rFonts w:ascii="Times New Roman" w:eastAsia="Times New Roman" w:hAnsi="Times New Roman"/>
          <w:sz w:val="24"/>
        </w:rPr>
        <w:t>, który szczegółowo określi</w:t>
      </w:r>
      <w:r w:rsidR="00F65EE7">
        <w:rPr>
          <w:rFonts w:ascii="Times New Roman" w:eastAsia="Times New Roman" w:hAnsi="Times New Roman"/>
          <w:sz w:val="24"/>
        </w:rPr>
        <w:t xml:space="preserve"> zadania podmiotów wchodzących </w:t>
      </w:r>
      <w:r>
        <w:rPr>
          <w:rFonts w:ascii="Times New Roman" w:eastAsia="Times New Roman" w:hAnsi="Times New Roman"/>
          <w:sz w:val="24"/>
        </w:rPr>
        <w:t>w skład Partnerstwa, zasady wspólnego zarządzania projektem, zakres wniesionych zasobów ludzkich, organizacyjnych, technicznych lub finansowych, odpowiadających realizowanym zadaniom oraz sposób przekazywania przez beneficjenta środków finansowych na pokrycie niezbędnych koszt</w:t>
      </w:r>
      <w:r w:rsidR="00F65EE7">
        <w:rPr>
          <w:rFonts w:ascii="Times New Roman" w:eastAsia="Times New Roman" w:hAnsi="Times New Roman"/>
          <w:sz w:val="24"/>
        </w:rPr>
        <w:t xml:space="preserve">ów, ponoszonych przez partnera </w:t>
      </w:r>
      <w:r>
        <w:rPr>
          <w:rFonts w:ascii="Times New Roman" w:eastAsia="Times New Roman" w:hAnsi="Times New Roman"/>
          <w:sz w:val="24"/>
        </w:rPr>
        <w:t xml:space="preserve">na realizację zadań </w:t>
      </w:r>
      <w:r w:rsidR="00F65EE7">
        <w:rPr>
          <w:rFonts w:ascii="Times New Roman" w:eastAsia="Times New Roman" w:hAnsi="Times New Roman"/>
          <w:sz w:val="24"/>
        </w:rPr>
        <w:br/>
      </w:r>
      <w:bookmarkStart w:id="1" w:name="_GoBack"/>
      <w:bookmarkEnd w:id="1"/>
      <w:r>
        <w:rPr>
          <w:rFonts w:ascii="Times New Roman" w:eastAsia="Times New Roman" w:hAnsi="Times New Roman"/>
          <w:sz w:val="24"/>
        </w:rPr>
        <w:t>w ramach projektu.</w:t>
      </w:r>
    </w:p>
    <w:p w:rsidR="00A735D3" w:rsidRDefault="00A735D3" w:rsidP="00A735D3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354" w:lineRule="auto"/>
        <w:ind w:right="64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Zobowiązujemy się jednocześnie do pełnej współpracy z Beneficjentem </w:t>
      </w:r>
      <w:r>
        <w:rPr>
          <w:rFonts w:ascii="Times New Roman" w:eastAsia="Times New Roman" w:hAnsi="Times New Roman"/>
          <w:sz w:val="24"/>
        </w:rPr>
        <w:br/>
        <w:t>w trakcie przygotowania wniosku o dofinansowanie, zgodnie z obowiązującymi wytycznymi oraz dokumentami programowymi RPOWŚ.</w:t>
      </w:r>
    </w:p>
    <w:p w:rsidR="00A735D3" w:rsidRDefault="00A735D3" w:rsidP="00A735D3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0" w:lineRule="atLeast"/>
        <w:ind w:left="5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……..……………………………</w:t>
      </w:r>
    </w:p>
    <w:p w:rsidR="00A735D3" w:rsidRDefault="00A735D3" w:rsidP="00A735D3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A735D3" w:rsidRDefault="00A735D3" w:rsidP="00A735D3">
      <w:pPr>
        <w:spacing w:line="239" w:lineRule="auto"/>
        <w:ind w:left="6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Data, pieczęć i podpis</w:t>
      </w:r>
    </w:p>
    <w:p w:rsidR="00A735D3" w:rsidRDefault="00A735D3" w:rsidP="00A735D3">
      <w:pPr>
        <w:spacing w:line="239" w:lineRule="auto"/>
        <w:ind w:left="6380"/>
        <w:rPr>
          <w:rFonts w:ascii="Times New Roman" w:eastAsia="Times New Roman" w:hAnsi="Times New Roman"/>
          <w:sz w:val="22"/>
        </w:rPr>
      </w:pPr>
    </w:p>
    <w:p w:rsidR="00A735D3" w:rsidRPr="00A735D3" w:rsidRDefault="00A735D3" w:rsidP="00A735D3">
      <w:pPr>
        <w:spacing w:line="239" w:lineRule="auto"/>
        <w:ind w:left="6380"/>
        <w:rPr>
          <w:rFonts w:ascii="Times New Roman" w:eastAsia="Times New Roman" w:hAnsi="Times New Roman"/>
          <w:sz w:val="22"/>
        </w:rPr>
      </w:pPr>
    </w:p>
    <w:p w:rsidR="00A735D3" w:rsidRDefault="00A735D3" w:rsidP="00A735D3">
      <w:pPr>
        <w:spacing w:line="0" w:lineRule="atLeast"/>
        <w:ind w:left="56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………..……………………</w:t>
      </w:r>
    </w:p>
    <w:p w:rsidR="00C32408" w:rsidRPr="00A735D3" w:rsidRDefault="00A735D3" w:rsidP="00A735D3">
      <w:pPr>
        <w:spacing w:line="0" w:lineRule="atLeast"/>
        <w:ind w:left="6368" w:firstLine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D</w:t>
      </w:r>
      <w:r>
        <w:rPr>
          <w:rFonts w:ascii="Times New Roman" w:eastAsia="Times New Roman" w:hAnsi="Times New Roman"/>
          <w:sz w:val="21"/>
        </w:rPr>
        <w:t>ata, pieczęć i podpis</w:t>
      </w:r>
    </w:p>
    <w:sectPr w:rsidR="00C32408" w:rsidRPr="00A735D3" w:rsidSect="00C3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D3"/>
    <w:rsid w:val="00054A29"/>
    <w:rsid w:val="003E060F"/>
    <w:rsid w:val="00A735D3"/>
    <w:rsid w:val="00B501E8"/>
    <w:rsid w:val="00C32408"/>
    <w:rsid w:val="00F6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5D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0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60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5D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0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60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Miszczuk</dc:creator>
  <cp:lastModifiedBy>Admin</cp:lastModifiedBy>
  <cp:revision>4</cp:revision>
  <dcterms:created xsi:type="dcterms:W3CDTF">2016-07-01T08:13:00Z</dcterms:created>
  <dcterms:modified xsi:type="dcterms:W3CDTF">2016-08-26T06:29:00Z</dcterms:modified>
</cp:coreProperties>
</file>