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5C6D59">
        <w:rPr>
          <w:rFonts w:ascii="Times New Roman" w:hAnsi="Times New Roman" w:cs="Times New Roman"/>
          <w:sz w:val="24"/>
          <w:szCs w:val="24"/>
        </w:rPr>
        <w:t>25</w:t>
      </w:r>
      <w:r w:rsidRPr="00EF311B">
        <w:rPr>
          <w:rFonts w:ascii="Times New Roman" w:hAnsi="Times New Roman" w:cs="Times New Roman"/>
          <w:sz w:val="24"/>
          <w:szCs w:val="24"/>
        </w:rPr>
        <w:t>.20</w:t>
      </w:r>
      <w:r w:rsidR="00DE07F8">
        <w:rPr>
          <w:rFonts w:ascii="Times New Roman" w:hAnsi="Times New Roman" w:cs="Times New Roman"/>
          <w:sz w:val="24"/>
          <w:szCs w:val="24"/>
        </w:rPr>
        <w:t>20</w:t>
      </w:r>
      <w:bookmarkStart w:id="0" w:name="_GoBack"/>
      <w:bookmarkEnd w:id="0"/>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C145D5">
        <w:rPr>
          <w:rFonts w:ascii="Times New Roman" w:hAnsi="Times New Roman" w:cs="Times New Roman"/>
          <w:sz w:val="24"/>
          <w:szCs w:val="24"/>
        </w:rPr>
        <w:t>30</w:t>
      </w:r>
      <w:r>
        <w:rPr>
          <w:rFonts w:ascii="Times New Roman" w:hAnsi="Times New Roman" w:cs="Times New Roman"/>
          <w:sz w:val="24"/>
          <w:szCs w:val="24"/>
        </w:rPr>
        <w:t>.10.20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projektów socjalnych gmin:</w:t>
      </w:r>
      <w:r w:rsidR="00C824CD">
        <w:rPr>
          <w:rStyle w:val="Uwydatnienie"/>
          <w:rFonts w:asciiTheme="majorHAnsi" w:eastAsiaTheme="majorEastAsia" w:hAnsiTheme="majorHAnsi" w:cstheme="majorBidi"/>
          <w:b/>
          <w:bCs/>
          <w:color w:val="4472C4" w:themeColor="accent1"/>
          <w:sz w:val="28"/>
          <w:szCs w:val="26"/>
        </w:rPr>
        <w:t xml:space="preserve"> </w:t>
      </w:r>
      <w:r w:rsidR="00C824CD" w:rsidRPr="001B7D7D">
        <w:rPr>
          <w:rStyle w:val="Uwydatnienie"/>
          <w:rFonts w:asciiTheme="majorHAnsi" w:eastAsiaTheme="majorEastAsia" w:hAnsiTheme="majorHAnsi" w:cstheme="majorBidi"/>
          <w:b/>
          <w:bCs/>
          <w:color w:val="4472C4" w:themeColor="accent1"/>
          <w:sz w:val="28"/>
          <w:szCs w:val="26"/>
        </w:rPr>
        <w:t>Łopuszno</w:t>
      </w:r>
      <w:r w:rsidR="00C824CD">
        <w:rPr>
          <w:rStyle w:val="Uwydatnienie"/>
          <w:rFonts w:asciiTheme="majorHAnsi" w:eastAsiaTheme="majorEastAsia" w:hAnsiTheme="majorHAnsi" w:cstheme="majorBidi"/>
          <w:b/>
          <w:bCs/>
          <w:color w:val="4472C4" w:themeColor="accent1"/>
          <w:sz w:val="28"/>
          <w:szCs w:val="26"/>
        </w:rPr>
        <w:t>,</w:t>
      </w:r>
      <w:r w:rsidR="00C824CD" w:rsidRPr="001B7D7D">
        <w:rPr>
          <w:rStyle w:val="Uwydatnienie"/>
          <w:rFonts w:asciiTheme="majorHAnsi" w:eastAsiaTheme="majorEastAsia" w:hAnsiTheme="majorHAnsi" w:cstheme="majorBidi"/>
          <w:b/>
          <w:bCs/>
          <w:color w:val="4472C4" w:themeColor="accent1"/>
          <w:sz w:val="28"/>
          <w:szCs w:val="26"/>
        </w:rPr>
        <w:t xml:space="preserve"> </w:t>
      </w:r>
      <w:r w:rsidRPr="001B7D7D">
        <w:rPr>
          <w:rStyle w:val="Uwydatnienie"/>
          <w:rFonts w:asciiTheme="majorHAnsi" w:eastAsiaTheme="majorEastAsia" w:hAnsiTheme="majorHAnsi" w:cstheme="majorBidi"/>
          <w:b/>
          <w:bCs/>
          <w:color w:val="4472C4" w:themeColor="accent1"/>
          <w:sz w:val="28"/>
          <w:szCs w:val="26"/>
        </w:rPr>
        <w:t xml:space="preserve">Oksa, </w:t>
      </w:r>
      <w:r w:rsidR="00C824CD" w:rsidRPr="001B7D7D">
        <w:rPr>
          <w:rStyle w:val="Uwydatnienie"/>
          <w:rFonts w:asciiTheme="majorHAnsi" w:eastAsiaTheme="majorEastAsia" w:hAnsiTheme="majorHAnsi" w:cstheme="majorBidi"/>
          <w:b/>
          <w:bCs/>
          <w:color w:val="4472C4" w:themeColor="accent1"/>
          <w:sz w:val="28"/>
          <w:szCs w:val="26"/>
        </w:rPr>
        <w:t>Bogoria</w:t>
      </w:r>
      <w:r w:rsidR="00C824CD">
        <w:rPr>
          <w:rStyle w:val="Uwydatnienie"/>
          <w:rFonts w:asciiTheme="majorHAnsi" w:eastAsiaTheme="majorEastAsia" w:hAnsiTheme="majorHAnsi" w:cstheme="majorBidi"/>
          <w:b/>
          <w:bCs/>
          <w:color w:val="4472C4" w:themeColor="accent1"/>
          <w:sz w:val="28"/>
          <w:szCs w:val="26"/>
        </w:rPr>
        <w:t>,</w:t>
      </w:r>
      <w:r w:rsidR="00C824CD" w:rsidRPr="001B7D7D">
        <w:rPr>
          <w:rStyle w:val="Uwydatnienie"/>
          <w:rFonts w:asciiTheme="majorHAnsi" w:eastAsiaTheme="majorEastAsia" w:hAnsiTheme="majorHAnsi" w:cstheme="majorBidi"/>
          <w:b/>
          <w:bCs/>
          <w:color w:val="4472C4" w:themeColor="accent1"/>
          <w:sz w:val="28"/>
          <w:szCs w:val="26"/>
        </w:rPr>
        <w:t xml:space="preserve"> </w:t>
      </w:r>
      <w:r w:rsidRPr="001B7D7D">
        <w:rPr>
          <w:rStyle w:val="Uwydatnienie"/>
          <w:rFonts w:asciiTheme="majorHAnsi" w:eastAsiaTheme="majorEastAsia" w:hAnsiTheme="majorHAnsi" w:cstheme="majorBidi"/>
          <w:b/>
          <w:bCs/>
          <w:color w:val="4472C4" w:themeColor="accent1"/>
          <w:sz w:val="28"/>
          <w:szCs w:val="26"/>
        </w:rPr>
        <w:t xml:space="preserve">Wodzisław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3BF2A755" wp14:editId="670A41F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243E90">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1B7D7D" w:rsidRPr="000D4D24">
        <w:rPr>
          <w:rFonts w:ascii="Times New Roman" w:hAnsi="Times New Roman" w:cs="Times New Roman"/>
          <w:b/>
          <w:sz w:val="26"/>
          <w:szCs w:val="26"/>
          <w:highlight w:val="yellow"/>
        </w:rPr>
        <w:t>0</w:t>
      </w:r>
      <w:r w:rsidR="00670D33">
        <w:rPr>
          <w:rFonts w:ascii="Times New Roman" w:hAnsi="Times New Roman" w:cs="Times New Roman"/>
          <w:b/>
          <w:sz w:val="26"/>
          <w:szCs w:val="26"/>
          <w:highlight w:val="yellow"/>
        </w:rPr>
        <w:t>9</w:t>
      </w:r>
      <w:r w:rsidR="001B7D7D" w:rsidRPr="000D4D24">
        <w:rPr>
          <w:rFonts w:ascii="Times New Roman" w:hAnsi="Times New Roman" w:cs="Times New Roman"/>
          <w:b/>
          <w:sz w:val="26"/>
          <w:szCs w:val="26"/>
          <w:highlight w:val="yellow"/>
        </w:rPr>
        <w:t>.11</w:t>
      </w:r>
      <w:r w:rsidR="00200DB2" w:rsidRPr="000D4D24">
        <w:rPr>
          <w:rFonts w:ascii="Times New Roman" w:hAnsi="Times New Roman" w:cs="Times New Roman"/>
          <w:b/>
          <w:sz w:val="26"/>
          <w:szCs w:val="26"/>
          <w:highlight w:val="yellow"/>
        </w:rPr>
        <w:t>.2020r. do godz. 10.00</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w:t>
      </w:r>
      <w:r w:rsidR="00920141">
        <w:rPr>
          <w:rFonts w:ascii="Times New Roman" w:hAnsi="Times New Roman"/>
          <w:sz w:val="24"/>
          <w:szCs w:val="24"/>
        </w:rPr>
        <w:t>ach</w:t>
      </w:r>
      <w:r w:rsidR="00200DB2" w:rsidRPr="00DC2B46">
        <w:rPr>
          <w:rFonts w:ascii="Times New Roman" w:hAnsi="Times New Roman"/>
          <w:sz w:val="24"/>
          <w:szCs w:val="24"/>
        </w:rPr>
        <w:t xml:space="preserve"> ofertow</w:t>
      </w:r>
      <w:r w:rsidR="00920141">
        <w:rPr>
          <w:rFonts w:ascii="Times New Roman" w:hAnsi="Times New Roman"/>
          <w:sz w:val="24"/>
          <w:szCs w:val="24"/>
        </w:rPr>
        <w:t>ych</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D12EC6">
        <w:rPr>
          <w:rFonts w:ascii="Times New Roman" w:hAnsi="Times New Roman"/>
          <w:sz w:val="24"/>
          <w:szCs w:val="24"/>
        </w:rPr>
        <w:t xml:space="preserve">.1 – </w:t>
      </w:r>
      <w:r w:rsidR="00B21A1B">
        <w:rPr>
          <w:rFonts w:ascii="Times New Roman" w:hAnsi="Times New Roman"/>
          <w:sz w:val="24"/>
          <w:szCs w:val="24"/>
        </w:rPr>
        <w:t>2</w:t>
      </w:r>
      <w:r w:rsidR="00D12EC6">
        <w:rPr>
          <w:rFonts w:ascii="Times New Roman" w:hAnsi="Times New Roman"/>
          <w:sz w:val="24"/>
          <w:szCs w:val="24"/>
        </w:rPr>
        <w:t>.4</w:t>
      </w:r>
      <w:r w:rsidR="00200DB2" w:rsidRPr="00DC2B46">
        <w:rPr>
          <w:rFonts w:ascii="Times New Roman" w:hAnsi="Times New Roman"/>
          <w:sz w:val="24"/>
          <w:szCs w:val="24"/>
        </w:rPr>
        <w:t xml:space="preserve">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lastRenderedPageBreak/>
        <w:t>niniejszego Zapytania ofertowego.</w:t>
      </w:r>
    </w:p>
    <w:p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00920141">
        <w:rPr>
          <w:color w:val="000000"/>
          <w:sz w:val="24"/>
          <w:szCs w:val="24"/>
        </w:rPr>
        <w:t xml:space="preserve">.1 – </w:t>
      </w:r>
      <w:r w:rsidR="00B21A1B">
        <w:rPr>
          <w:color w:val="000000"/>
          <w:sz w:val="24"/>
          <w:szCs w:val="24"/>
        </w:rPr>
        <w:t>2</w:t>
      </w:r>
      <w:r w:rsidR="00920141">
        <w:rPr>
          <w:color w:val="000000"/>
          <w:sz w:val="24"/>
          <w:szCs w:val="24"/>
        </w:rPr>
        <w:t>.4</w:t>
      </w:r>
      <w:r w:rsidRPr="00E768E0">
        <w:rPr>
          <w:color w:val="000000"/>
          <w:sz w:val="24"/>
          <w:szCs w:val="24"/>
        </w:rPr>
        <w:t>);</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670D33">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Pr="0093263F">
        <w:rPr>
          <w:rFonts w:ascii="Times New Roman" w:eastAsia="Calibri" w:hAnsi="Times New Roman" w:cs="Times New Roman"/>
          <w:b/>
          <w:bCs/>
          <w:i/>
          <w:color w:val="000000"/>
          <w:sz w:val="24"/>
          <w:szCs w:val="24"/>
        </w:rPr>
        <w:t xml:space="preserve">”. </w:t>
      </w:r>
    </w:p>
    <w:p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rsidR="0032101E" w:rsidRPr="00145DFE" w:rsidRDefault="0032101E" w:rsidP="0032101E">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t xml:space="preserve">Oferowany asortyment musi posiadać instrukcje obsługi w języku polskim. </w:t>
      </w:r>
    </w:p>
    <w:p w:rsidR="0032101E" w:rsidRPr="001B3C6B" w:rsidRDefault="0032101E" w:rsidP="0032101E">
      <w:pPr>
        <w:spacing w:after="0" w:line="360" w:lineRule="auto"/>
        <w:ind w:left="284"/>
        <w:contextualSpacing/>
        <w:jc w:val="both"/>
        <w:rPr>
          <w:rFonts w:ascii="Times New Roman" w:eastAsia="Calibri" w:hAnsi="Times New Roman" w:cs="Times New Roman"/>
          <w:bCs/>
          <w:iCs/>
          <w:color w:val="FF0000"/>
          <w:sz w:val="24"/>
          <w:szCs w:val="24"/>
        </w:rPr>
      </w:pPr>
    </w:p>
    <w:p w:rsidR="009973F3" w:rsidRPr="00DA57D8" w:rsidRDefault="00DA57D8" w:rsidP="00DA57D8">
      <w:pPr>
        <w:numPr>
          <w:ilvl w:val="0"/>
          <w:numId w:val="10"/>
        </w:numPr>
        <w:spacing w:after="0" w:line="360" w:lineRule="auto"/>
        <w:ind w:left="284" w:hanging="284"/>
        <w:contextualSpacing/>
        <w:jc w:val="both"/>
        <w:rPr>
          <w:rFonts w:ascii="Times New Roman" w:eastAsia="Calibri" w:hAnsi="Times New Roman" w:cs="Times New Roman"/>
          <w:bCs/>
          <w:iCs/>
          <w:sz w:val="24"/>
          <w:szCs w:val="24"/>
        </w:rPr>
      </w:pPr>
      <w:r w:rsidRPr="00DA57D8">
        <w:rPr>
          <w:rFonts w:ascii="Times New Roman" w:eastAsia="Calibri" w:hAnsi="Times New Roman" w:cs="Times New Roman"/>
          <w:bCs/>
          <w:iCs/>
          <w:sz w:val="24"/>
          <w:szCs w:val="24"/>
        </w:rPr>
        <w:lastRenderedPageBreak/>
        <w:t>Na</w:t>
      </w:r>
      <w:r w:rsidR="009973F3" w:rsidRPr="00DA57D8">
        <w:rPr>
          <w:rFonts w:ascii="Times New Roman" w:eastAsia="Calibri" w:hAnsi="Times New Roman" w:cs="Times New Roman"/>
          <w:bCs/>
          <w:iCs/>
          <w:sz w:val="24"/>
          <w:szCs w:val="24"/>
        </w:rPr>
        <w:t xml:space="preserve"> zakupionym sprzęcie umieszczone zostanie logo projektu „Liderzy kooperacji” - zakupione w ramach projektu środki muszą zostać opisane i oznakowane zgodnie z wytycznymi Zamawiającego</w:t>
      </w:r>
      <w:r w:rsidRPr="00DA57D8">
        <w:rPr>
          <w:rFonts w:ascii="Times New Roman" w:eastAsia="Calibri" w:hAnsi="Times New Roman" w:cs="Times New Roman"/>
          <w:bCs/>
          <w:iCs/>
          <w:sz w:val="24"/>
          <w:szCs w:val="24"/>
        </w:rPr>
        <w:t>.</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projektów socjalnych gmin: Bog</w:t>
      </w:r>
      <w:r w:rsidR="005C6D59">
        <w:rPr>
          <w:bCs/>
          <w:iCs/>
          <w:sz w:val="24"/>
          <w:szCs w:val="24"/>
        </w:rPr>
        <w:t>oria, Oksa, Wodzisław, Łopuszno</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Pr>
          <w:rFonts w:ascii="Times New Roman" w:eastAsia="Times New Roman" w:hAnsi="Times New Roman" w:cs="Mangal"/>
          <w:bCs/>
          <w:iCs/>
          <w:kern w:val="3"/>
          <w:sz w:val="24"/>
          <w:szCs w:val="24"/>
          <w:lang w:eastAsia="zh-CN" w:bidi="hi-IN"/>
        </w:rPr>
        <w:t>ów</w:t>
      </w:r>
      <w:r w:rsidR="00F811B0">
        <w:rPr>
          <w:rFonts w:ascii="Times New Roman" w:eastAsia="Times New Roman" w:hAnsi="Times New Roman" w:cs="Mangal"/>
          <w:bCs/>
          <w:iCs/>
          <w:kern w:val="3"/>
          <w:sz w:val="24"/>
          <w:szCs w:val="24"/>
          <w:lang w:eastAsia="zh-CN" w:bidi="hi-IN"/>
        </w:rPr>
        <w:t xml:space="preserve"> socjaln</w:t>
      </w:r>
      <w:r>
        <w:rPr>
          <w:rFonts w:ascii="Times New Roman" w:eastAsia="Times New Roman" w:hAnsi="Times New Roman" w:cs="Mangal"/>
          <w:bCs/>
          <w:iCs/>
          <w:kern w:val="3"/>
          <w:sz w:val="24"/>
          <w:szCs w:val="24"/>
          <w:lang w:eastAsia="zh-CN" w:bidi="hi-IN"/>
        </w:rPr>
        <w:t>ych</w:t>
      </w:r>
      <w:r w:rsidR="00F811B0">
        <w:rPr>
          <w:rFonts w:ascii="Times New Roman" w:eastAsia="Times New Roman" w:hAnsi="Times New Roman" w:cs="Mangal"/>
          <w:bCs/>
          <w:iCs/>
          <w:kern w:val="3"/>
          <w:sz w:val="24"/>
          <w:szCs w:val="24"/>
          <w:lang w:eastAsia="zh-CN" w:bidi="hi-IN"/>
        </w:rPr>
        <w:t xml:space="preserve"> 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243E90">
        <w:rPr>
          <w:rFonts w:ascii="Times New Roman" w:eastAsia="Times New Roman" w:hAnsi="Times New Roman" w:cs="Mangal"/>
          <w:bCs/>
          <w:iCs/>
          <w:kern w:val="3"/>
          <w:sz w:val="24"/>
          <w:szCs w:val="24"/>
          <w:lang w:eastAsia="zh-CN" w:bidi="hi-IN"/>
        </w:rPr>
        <w:t>ów</w:t>
      </w:r>
      <w:r w:rsidR="00F811B0">
        <w:rPr>
          <w:rFonts w:ascii="Times New Roman" w:eastAsia="Times New Roman" w:hAnsi="Times New Roman" w:cs="Mangal"/>
          <w:bCs/>
          <w:iCs/>
          <w:kern w:val="3"/>
          <w:sz w:val="24"/>
          <w:szCs w:val="24"/>
          <w:lang w:eastAsia="zh-CN" w:bidi="hi-IN"/>
        </w:rPr>
        <w:t xml:space="preserve"> socjaln</w:t>
      </w:r>
      <w:r w:rsidR="00243E90">
        <w:rPr>
          <w:rFonts w:ascii="Times New Roman" w:eastAsia="Times New Roman" w:hAnsi="Times New Roman" w:cs="Mangal"/>
          <w:bCs/>
          <w:iCs/>
          <w:kern w:val="3"/>
          <w:sz w:val="24"/>
          <w:szCs w:val="24"/>
          <w:lang w:eastAsia="zh-CN" w:bidi="hi-IN"/>
        </w:rPr>
        <w:t>ych</w:t>
      </w:r>
      <w:r w:rsidR="00F811B0">
        <w:rPr>
          <w:rFonts w:ascii="Times New Roman" w:eastAsia="Times New Roman" w:hAnsi="Times New Roman" w:cs="Mangal"/>
          <w:bCs/>
          <w:iCs/>
          <w:kern w:val="3"/>
          <w:sz w:val="24"/>
          <w:szCs w:val="24"/>
          <w:lang w:eastAsia="zh-CN" w:bidi="hi-IN"/>
        </w:rPr>
        <w:t xml:space="preserve"> opracowan</w:t>
      </w:r>
      <w:r w:rsidR="00243E90">
        <w:rPr>
          <w:rFonts w:ascii="Times New Roman" w:eastAsia="Times New Roman" w:hAnsi="Times New Roman" w:cs="Mangal"/>
          <w:bCs/>
          <w:iCs/>
          <w:kern w:val="3"/>
          <w:sz w:val="24"/>
          <w:szCs w:val="24"/>
          <w:lang w:eastAsia="zh-CN" w:bidi="hi-IN"/>
        </w:rPr>
        <w:t>ych</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w:t>
      </w:r>
      <w:r w:rsidR="00243E90">
        <w:rPr>
          <w:rFonts w:ascii="Times New Roman" w:eastAsia="Times New Roman" w:hAnsi="Times New Roman" w:cs="Mangal"/>
          <w:bCs/>
          <w:iCs/>
          <w:kern w:val="3"/>
          <w:sz w:val="24"/>
          <w:szCs w:val="24"/>
          <w:lang w:eastAsia="zh-CN" w:bidi="hi-IN"/>
        </w:rPr>
        <w:t>e</w:t>
      </w:r>
      <w:r w:rsidR="00F811B0">
        <w:rPr>
          <w:rFonts w:ascii="Times New Roman" w:eastAsia="Times New Roman" w:hAnsi="Times New Roman" w:cs="Mangal"/>
          <w:bCs/>
          <w:iCs/>
          <w:kern w:val="3"/>
          <w:sz w:val="24"/>
          <w:szCs w:val="24"/>
          <w:lang w:eastAsia="zh-CN" w:bidi="hi-IN"/>
        </w:rPr>
        <w:t xml:space="preserve"> Zesp</w:t>
      </w:r>
      <w:r w:rsidR="00243E90">
        <w:rPr>
          <w:rFonts w:ascii="Times New Roman" w:eastAsia="Times New Roman" w:hAnsi="Times New Roman" w:cs="Mangal"/>
          <w:bCs/>
          <w:iCs/>
          <w:kern w:val="3"/>
          <w:sz w:val="24"/>
          <w:szCs w:val="24"/>
          <w:lang w:eastAsia="zh-CN" w:bidi="hi-IN"/>
        </w:rPr>
        <w:t>oły</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243E90">
        <w:rPr>
          <w:rFonts w:ascii="Times New Roman" w:eastAsia="Times New Roman" w:hAnsi="Times New Roman" w:cs="Mangal"/>
          <w:bCs/>
          <w:iCs/>
          <w:kern w:val="3"/>
          <w:sz w:val="24"/>
          <w:szCs w:val="24"/>
          <w:lang w:eastAsia="zh-CN" w:bidi="hi-IN"/>
        </w:rPr>
        <w:t>ach: Łopuszno/powiat kielecki, Bogoria/powiat staszowski</w:t>
      </w:r>
      <w:r w:rsidR="009B222D">
        <w:rPr>
          <w:rFonts w:ascii="Times New Roman" w:eastAsia="Times New Roman" w:hAnsi="Times New Roman" w:cs="Mangal"/>
          <w:bCs/>
          <w:iCs/>
          <w:kern w:val="3"/>
          <w:sz w:val="24"/>
          <w:szCs w:val="24"/>
          <w:lang w:eastAsia="zh-CN" w:bidi="hi-IN"/>
        </w:rPr>
        <w:t>, Oksa/powiat jędrzejowski, Wodzisław/powiat jędrzejowski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811B0"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CZTERY</w:t>
      </w:r>
      <w:r w:rsidRPr="00F811B0">
        <w:rPr>
          <w:rFonts w:eastAsia="Times New Roman"/>
          <w:b/>
          <w:sz w:val="24"/>
          <w:szCs w:val="24"/>
          <w:u w:val="single"/>
          <w:lang w:eastAsia="pl-PL"/>
        </w:rPr>
        <w:t xml:space="preserve"> CZĘŚCI:</w:t>
      </w:r>
    </w:p>
    <w:p w:rsidR="00E94841" w:rsidRDefault="00E94841" w:rsidP="00243E90">
      <w:pPr>
        <w:spacing w:after="0" w:line="360" w:lineRule="auto"/>
        <w:jc w:val="both"/>
        <w:rPr>
          <w:rFonts w:ascii="Times New Roman" w:eastAsia="Times New Roman" w:hAnsi="Times New Roman" w:cs="Times New Roman"/>
          <w:sz w:val="24"/>
          <w:szCs w:val="24"/>
          <w:lang w:eastAsia="pl-PL"/>
        </w:rPr>
      </w:pPr>
    </w:p>
    <w:p w:rsidR="00E94841" w:rsidRDefault="00E94841" w:rsidP="00E9484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gmina Łopuszno</w:t>
      </w:r>
      <w:r>
        <w:rPr>
          <w:rFonts w:ascii="Times New Roman" w:eastAsia="Times New Roman" w:hAnsi="Times New Roman" w:cs="Times New Roman"/>
          <w:bCs/>
          <w:iCs/>
          <w:sz w:val="24"/>
          <w:szCs w:val="24"/>
          <w:lang w:eastAsia="pl-PL"/>
        </w:rPr>
        <w:t>/powiat kielecki</w:t>
      </w:r>
    </w:p>
    <w:p w:rsidR="00F811B0" w:rsidRDefault="00F811B0" w:rsidP="00243E90">
      <w:pPr>
        <w:spacing w:after="0" w:line="360" w:lineRule="auto"/>
        <w:jc w:val="both"/>
        <w:rPr>
          <w:rFonts w:ascii="Times New Roman" w:eastAsia="Times New Roman" w:hAnsi="Times New Roman" w:cs="Times New Roman"/>
          <w:sz w:val="24"/>
          <w:szCs w:val="24"/>
          <w:lang w:eastAsia="pl-PL"/>
        </w:rPr>
      </w:pP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xml:space="preserve">– gmina </w:t>
      </w:r>
      <w:r>
        <w:rPr>
          <w:rFonts w:ascii="Times New Roman" w:eastAsia="Times New Roman" w:hAnsi="Times New Roman" w:cs="Times New Roman"/>
          <w:bCs/>
          <w:iCs/>
          <w:sz w:val="24"/>
          <w:szCs w:val="24"/>
          <w:lang w:eastAsia="pl-PL"/>
        </w:rPr>
        <w:t>Oksa/powiat jędrzejowski</w:t>
      </w: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xml:space="preserve">– gmina </w:t>
      </w:r>
      <w:r>
        <w:rPr>
          <w:rFonts w:ascii="Times New Roman" w:eastAsia="Times New Roman" w:hAnsi="Times New Roman" w:cs="Times New Roman"/>
          <w:bCs/>
          <w:iCs/>
          <w:sz w:val="24"/>
          <w:szCs w:val="24"/>
          <w:lang w:eastAsia="pl-PL"/>
        </w:rPr>
        <w:t>Bogoria/powiat staszowski</w:t>
      </w:r>
    </w:p>
    <w:p w:rsidR="00F811B0" w:rsidRPr="000B2AA5" w:rsidRDefault="00F811B0" w:rsidP="00243E90">
      <w:pPr>
        <w:spacing w:after="0" w:line="360" w:lineRule="auto"/>
        <w:jc w:val="both"/>
        <w:rPr>
          <w:rFonts w:ascii="Times New Roman" w:eastAsia="Times New Roman" w:hAnsi="Times New Roman" w:cs="Times New Roman"/>
          <w:sz w:val="24"/>
          <w:szCs w:val="24"/>
          <w:lang w:eastAsia="pl-PL"/>
        </w:rPr>
      </w:pPr>
    </w:p>
    <w:p w:rsidR="00F811B0"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lastRenderedPageBreak/>
        <w:t>Część</w:t>
      </w:r>
      <w:r w:rsidR="00F811B0" w:rsidRPr="00F811B0">
        <w:rPr>
          <w:rFonts w:ascii="Times New Roman" w:eastAsia="Times New Roman" w:hAnsi="Times New Roman" w:cs="Times New Roman"/>
          <w:b/>
          <w:sz w:val="24"/>
          <w:szCs w:val="24"/>
          <w:lang w:eastAsia="pl-PL"/>
        </w:rPr>
        <w:t xml:space="preserve"> </w:t>
      </w:r>
      <w:r w:rsidR="001B3C6B">
        <w:rPr>
          <w:rFonts w:ascii="Times New Roman" w:eastAsia="Times New Roman" w:hAnsi="Times New Roman" w:cs="Times New Roman"/>
          <w:b/>
          <w:sz w:val="24"/>
          <w:szCs w:val="24"/>
          <w:lang w:eastAsia="pl-PL"/>
        </w:rPr>
        <w:t>I</w:t>
      </w:r>
      <w:r w:rsidR="00E94841">
        <w:rPr>
          <w:rFonts w:ascii="Times New Roman" w:eastAsia="Times New Roman" w:hAnsi="Times New Roman" w:cs="Times New Roman"/>
          <w:b/>
          <w:sz w:val="24"/>
          <w:szCs w:val="24"/>
          <w:lang w:eastAsia="pl-PL"/>
        </w:rPr>
        <w:t>V</w:t>
      </w:r>
      <w:r w:rsidR="00F811B0" w:rsidRPr="000B2AA5">
        <w:rPr>
          <w:rFonts w:ascii="Times New Roman" w:eastAsia="Times New Roman" w:hAnsi="Times New Roman" w:cs="Times New Roman"/>
          <w:sz w:val="24"/>
          <w:szCs w:val="24"/>
          <w:lang w:eastAsia="pl-PL"/>
        </w:rPr>
        <w:t xml:space="preserve"> - </w:t>
      </w:r>
      <w:r w:rsidR="009B222D"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00F811B0" w:rsidRPr="007302DF">
        <w:rPr>
          <w:rFonts w:ascii="Times New Roman" w:eastAsia="Times New Roman" w:hAnsi="Times New Roman" w:cs="Times New Roman"/>
          <w:bCs/>
          <w:iCs/>
          <w:sz w:val="24"/>
          <w:szCs w:val="24"/>
          <w:lang w:eastAsia="pl-PL"/>
        </w:rPr>
        <w:t xml:space="preserve">– gmina </w:t>
      </w:r>
      <w:r w:rsidR="00E94841">
        <w:rPr>
          <w:rFonts w:ascii="Times New Roman" w:eastAsia="Times New Roman" w:hAnsi="Times New Roman" w:cs="Times New Roman"/>
          <w:bCs/>
          <w:iCs/>
          <w:sz w:val="24"/>
          <w:szCs w:val="24"/>
          <w:lang w:eastAsia="pl-PL"/>
        </w:rPr>
        <w:t>Wodzisław</w:t>
      </w:r>
      <w:r w:rsidR="00243E90">
        <w:rPr>
          <w:rFonts w:ascii="Times New Roman" w:eastAsia="Times New Roman" w:hAnsi="Times New Roman" w:cs="Times New Roman"/>
          <w:bCs/>
          <w:iCs/>
          <w:sz w:val="24"/>
          <w:szCs w:val="24"/>
          <w:lang w:eastAsia="pl-PL"/>
        </w:rPr>
        <w:t xml:space="preserve">/powiat </w:t>
      </w:r>
      <w:r w:rsidR="00E94841">
        <w:rPr>
          <w:rFonts w:ascii="Times New Roman" w:eastAsia="Times New Roman" w:hAnsi="Times New Roman" w:cs="Times New Roman"/>
          <w:bCs/>
          <w:iCs/>
          <w:sz w:val="24"/>
          <w:szCs w:val="24"/>
          <w:lang w:eastAsia="pl-PL"/>
        </w:rPr>
        <w:t>jędrzejowski</w:t>
      </w:r>
    </w:p>
    <w:p w:rsidR="002F3B40" w:rsidRDefault="002F3B40" w:rsidP="00F811B0">
      <w:pPr>
        <w:spacing w:after="0" w:line="240" w:lineRule="auto"/>
        <w:jc w:val="both"/>
        <w:rPr>
          <w:rFonts w:ascii="Times New Roman" w:eastAsia="Times New Roman" w:hAnsi="Times New Roman" w:cs="Times New Roman"/>
          <w:sz w:val="24"/>
          <w:szCs w:val="24"/>
          <w:lang w:eastAsia="pl-PL"/>
        </w:rPr>
      </w:pPr>
    </w:p>
    <w:p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 xml:space="preserve">arty jest w załącznikach nr 1.1 </w:t>
      </w:r>
      <w:r w:rsidRPr="00F27F96">
        <w:rPr>
          <w:rFonts w:ascii="Times New Roman" w:hAnsi="Times New Roman" w:cs="Times New Roman"/>
          <w:b/>
          <w:iCs/>
          <w:color w:val="000000"/>
          <w:sz w:val="24"/>
          <w:szCs w:val="24"/>
        </w:rPr>
        <w:t>- 1.4 do przedmiotowego zapytania ofertowego.</w:t>
      </w:r>
    </w:p>
    <w:p w:rsidR="00F27F96" w:rsidRDefault="00F27F96" w:rsidP="00F811B0">
      <w:pPr>
        <w:spacing w:after="0" w:line="240" w:lineRule="auto"/>
        <w:jc w:val="both"/>
        <w:rPr>
          <w:rFonts w:ascii="Times New Roman" w:eastAsia="Times New Roman" w:hAnsi="Times New Roman" w:cs="Times New Roman"/>
          <w:sz w:val="24"/>
          <w:szCs w:val="24"/>
          <w:lang w:eastAsia="pl-PL"/>
        </w:rPr>
      </w:pPr>
    </w:p>
    <w:p w:rsidR="000D4D24" w:rsidRDefault="000D4D24" w:rsidP="000D4D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p>
    <w:p w:rsidR="000D4D24" w:rsidRPr="000D4D24" w:rsidRDefault="000D4D24" w:rsidP="000D4D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rsidR="001A1CBE" w:rsidRDefault="001A1CBE" w:rsidP="001A1CBE">
      <w:pPr>
        <w:spacing w:after="0" w:line="360" w:lineRule="auto"/>
        <w:jc w:val="both"/>
        <w:rPr>
          <w:rFonts w:ascii="Times New Roman" w:eastAsia="Times New Roman" w:hAnsi="Times New Roman" w:cs="Times New Roman"/>
          <w:b/>
          <w:bCs/>
          <w:color w:val="FF0000"/>
          <w:sz w:val="24"/>
          <w:szCs w:val="24"/>
        </w:rPr>
      </w:pPr>
      <w:r w:rsidRPr="001A1CBE">
        <w:rPr>
          <w:rFonts w:ascii="Times New Roman" w:eastAsia="Times New Roman" w:hAnsi="Times New Roman" w:cs="Times New Roman"/>
          <w:b/>
          <w:bCs/>
          <w:color w:val="FF0000"/>
          <w:sz w:val="24"/>
          <w:szCs w:val="24"/>
        </w:rPr>
        <w:t>Wykonawca nie musi składać oferty na całość przedmiotu zamówienia</w:t>
      </w:r>
      <w:r w:rsidRPr="001A1CBE">
        <w:rPr>
          <w:rFonts w:ascii="Times New Roman" w:eastAsia="Times New Roman" w:hAnsi="Times New Roman" w:cs="Times New Roman"/>
          <w:b/>
          <w:color w:val="FF0000"/>
          <w:sz w:val="24"/>
          <w:szCs w:val="24"/>
        </w:rPr>
        <w:t xml:space="preserve">. </w:t>
      </w:r>
      <w:r w:rsidRPr="001A1CBE">
        <w:rPr>
          <w:rFonts w:ascii="Times New Roman" w:eastAsia="Times New Roman" w:hAnsi="Times New Roman" w:cs="Times New Roman"/>
          <w:b/>
          <w:bCs/>
          <w:color w:val="FF0000"/>
          <w:sz w:val="24"/>
          <w:szCs w:val="24"/>
        </w:rPr>
        <w:t xml:space="preserve">Wykonawca może złożyć ofertę na wybrany asortyment </w:t>
      </w:r>
      <w:r w:rsidR="00C20660">
        <w:rPr>
          <w:rFonts w:ascii="Times New Roman" w:eastAsia="Times New Roman" w:hAnsi="Times New Roman" w:cs="Times New Roman"/>
          <w:b/>
          <w:bCs/>
          <w:color w:val="FF0000"/>
          <w:sz w:val="24"/>
          <w:szCs w:val="24"/>
        </w:rPr>
        <w:t xml:space="preserve">w danej części zamówienia </w:t>
      </w:r>
      <w:r w:rsidR="00635935">
        <w:rPr>
          <w:rFonts w:ascii="Times New Roman" w:eastAsia="Times New Roman" w:hAnsi="Times New Roman" w:cs="Times New Roman"/>
          <w:b/>
          <w:bCs/>
          <w:color w:val="FF0000"/>
          <w:sz w:val="24"/>
          <w:szCs w:val="24"/>
        </w:rPr>
        <w:t xml:space="preserve">(zgodnie z całością asortymentu w poszczególnych punktach) </w:t>
      </w:r>
      <w:r w:rsidRPr="001A1CBE">
        <w:rPr>
          <w:rFonts w:ascii="Times New Roman" w:eastAsia="Times New Roman" w:hAnsi="Times New Roman" w:cs="Times New Roman"/>
          <w:b/>
          <w:bCs/>
          <w:color w:val="FF0000"/>
          <w:sz w:val="24"/>
          <w:szCs w:val="24"/>
        </w:rPr>
        <w:t>oraz w ilościach jakimi dysponuje</w:t>
      </w:r>
      <w:r>
        <w:rPr>
          <w:rFonts w:ascii="Times New Roman" w:eastAsia="Times New Roman" w:hAnsi="Times New Roman" w:cs="Times New Roman"/>
          <w:b/>
          <w:bCs/>
          <w:color w:val="FF0000"/>
          <w:sz w:val="24"/>
          <w:szCs w:val="24"/>
        </w:rPr>
        <w:t>.</w:t>
      </w:r>
    </w:p>
    <w:p w:rsidR="000D4D24" w:rsidRPr="001A1CBE" w:rsidRDefault="000D4D24" w:rsidP="001A1CBE">
      <w:pPr>
        <w:spacing w:after="0" w:line="360" w:lineRule="auto"/>
        <w:jc w:val="both"/>
        <w:rPr>
          <w:rFonts w:ascii="Times New Roman" w:eastAsia="Times New Roman" w:hAnsi="Times New Roman" w:cs="Times New Roman"/>
          <w:b/>
          <w:bCs/>
          <w:color w:val="FF0000"/>
          <w:sz w:val="24"/>
          <w:szCs w:val="24"/>
        </w:rPr>
      </w:pPr>
    </w:p>
    <w:p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448A2" w:rsidRDefault="00F811B0" w:rsidP="00BE1019">
      <w:pPr>
        <w:pStyle w:val="Akapitzlist"/>
        <w:numPr>
          <w:ilvl w:val="0"/>
          <w:numId w:val="4"/>
        </w:numPr>
        <w:autoSpaceDE w:val="0"/>
        <w:autoSpaceDN w:val="0"/>
        <w:adjustRightInd w:val="0"/>
        <w:spacing w:line="360" w:lineRule="auto"/>
        <w:ind w:left="284" w:hanging="284"/>
        <w:jc w:val="both"/>
        <w:rPr>
          <w:iCs/>
          <w:color w:val="000000"/>
        </w:rPr>
      </w:pPr>
      <w:r>
        <w:rPr>
          <w:rFonts w:eastAsia="Times New Roman" w:cs="Mangal"/>
          <w:b/>
          <w:bCs/>
          <w:iCs/>
          <w:kern w:val="3"/>
          <w:sz w:val="24"/>
          <w:szCs w:val="24"/>
          <w:u w:val="single"/>
          <w:lang w:eastAsia="zh-CN" w:bidi="hi-IN"/>
        </w:rPr>
        <w:t>TERMIN I MIEJSCE REALIZACJI ZAMÓWIENIA</w:t>
      </w:r>
    </w:p>
    <w:p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E94841" w:rsidRPr="005C6D59">
        <w:rPr>
          <w:rFonts w:ascii="Times New Roman" w:hAnsi="Times New Roman" w:cs="Times New Roman"/>
          <w:b/>
          <w:iCs/>
          <w:color w:val="000000"/>
          <w:sz w:val="24"/>
          <w:szCs w:val="24"/>
        </w:rPr>
        <w:t>16</w:t>
      </w:r>
      <w:r w:rsidRPr="005C6D59">
        <w:rPr>
          <w:rFonts w:ascii="Times New Roman" w:hAnsi="Times New Roman" w:cs="Times New Roman"/>
          <w:b/>
          <w:iCs/>
          <w:color w:val="000000"/>
          <w:sz w:val="24"/>
          <w:szCs w:val="24"/>
        </w:rPr>
        <w:t xml:space="preserve"> grudnia 2020 r</w:t>
      </w:r>
      <w:r>
        <w:rPr>
          <w:rFonts w:ascii="Times New Roman" w:hAnsi="Times New Roman" w:cs="Times New Roman"/>
          <w:iCs/>
          <w:color w:val="000000"/>
          <w:sz w:val="24"/>
          <w:szCs w:val="24"/>
        </w:rPr>
        <w:t>. (termin realizacji usługi może ulec zmianie).</w:t>
      </w:r>
      <w:r w:rsidR="0039676E">
        <w:rPr>
          <w:rFonts w:ascii="Times New Roman" w:hAnsi="Times New Roman" w:cs="Times New Roman"/>
          <w:iCs/>
          <w:color w:val="000000"/>
          <w:sz w:val="24"/>
          <w:szCs w:val="24"/>
        </w:rPr>
        <w:t xml:space="preserve"> </w:t>
      </w:r>
    </w:p>
    <w:p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635935">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rsidR="0039571E" w:rsidRPr="00702EA0" w:rsidRDefault="0039571E" w:rsidP="0039571E">
      <w:pPr>
        <w:numPr>
          <w:ilvl w:val="1"/>
          <w:numId w:val="44"/>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31590" w:rsidRPr="00D549C0" w:rsidRDefault="00931590" w:rsidP="00931590">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DA57D8">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p>
    <w:p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rsidTr="00D434E3">
        <w:trPr>
          <w:trHeight w:val="567"/>
          <w:tblHeader/>
        </w:trPr>
        <w:tc>
          <w:tcPr>
            <w:tcW w:w="709"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rsidTr="00D434E3">
        <w:trPr>
          <w:trHeight w:val="659"/>
        </w:trPr>
        <w:tc>
          <w:tcPr>
            <w:tcW w:w="709" w:type="dxa"/>
            <w:vAlign w:val="center"/>
          </w:tcPr>
          <w:p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rsidR="00931590" w:rsidRPr="00D549C0" w:rsidRDefault="00931590" w:rsidP="00931590">
      <w:pPr>
        <w:ind w:left="780"/>
        <w:contextualSpacing/>
        <w:rPr>
          <w:rFonts w:ascii="Times New Roman" w:eastAsia="Calibri" w:hAnsi="Times New Roman" w:cs="Times New Roman"/>
          <w:sz w:val="24"/>
          <w:szCs w:val="24"/>
        </w:rPr>
      </w:pPr>
    </w:p>
    <w:p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rsidR="00931590" w:rsidRPr="00D549C0" w:rsidRDefault="00931590" w:rsidP="00931590">
      <w:pPr>
        <w:spacing w:after="200" w:line="276" w:lineRule="auto"/>
        <w:rPr>
          <w:rFonts w:ascii="Times New Roman" w:eastAsia="Calibri" w:hAnsi="Times New Roman" w:cs="Times New Roman"/>
          <w:sz w:val="8"/>
          <w:szCs w:val="24"/>
        </w:rPr>
      </w:pPr>
    </w:p>
    <w:p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BE1019">
      <w:pPr>
        <w:pStyle w:val="Default"/>
        <w:numPr>
          <w:ilvl w:val="0"/>
          <w:numId w:val="6"/>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rsidR="00931590" w:rsidRPr="00B66333" w:rsidRDefault="00931590" w:rsidP="00931590">
      <w:pPr>
        <w:pStyle w:val="Default"/>
        <w:spacing w:line="360" w:lineRule="auto"/>
        <w:jc w:val="both"/>
        <w:rPr>
          <w:u w:val="single"/>
        </w:rPr>
      </w:pPr>
      <w:r w:rsidRPr="00706D80">
        <w:rPr>
          <w:b/>
          <w:bCs/>
        </w:rPr>
        <w:lastRenderedPageBreak/>
        <w:t xml:space="preserve">6. </w:t>
      </w:r>
      <w:r w:rsidRPr="00B66333">
        <w:rPr>
          <w:b/>
          <w:bCs/>
          <w:u w:val="single"/>
        </w:rPr>
        <w:t xml:space="preserve">UWAGI </w:t>
      </w:r>
      <w:r w:rsidR="00EB53F8">
        <w:rPr>
          <w:b/>
          <w:bCs/>
          <w:iCs/>
          <w:kern w:val="3"/>
          <w:u w:val="single"/>
          <w:lang w:eastAsia="zh-CN" w:bidi="hi-IN"/>
        </w:rPr>
        <w:t>(DOTYCZĄ CZĘŚCI I-I</w:t>
      </w:r>
      <w:r w:rsidR="0039571E">
        <w:rPr>
          <w:b/>
          <w:bCs/>
          <w:iCs/>
          <w:kern w:val="3"/>
          <w:u w:val="single"/>
          <w:lang w:eastAsia="zh-CN" w:bidi="hi-IN"/>
        </w:rPr>
        <w:t>V</w:t>
      </w:r>
      <w:r w:rsidR="00EB53F8">
        <w:rPr>
          <w:b/>
          <w:bCs/>
          <w:iCs/>
          <w:kern w:val="3"/>
          <w:u w:val="single"/>
          <w:lang w:eastAsia="zh-CN" w:bidi="hi-IN"/>
        </w:rPr>
        <w:t>)</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w:t>
      </w:r>
      <w:r w:rsidRPr="002F3B40">
        <w:rPr>
          <w:rFonts w:ascii="Times New Roman" w:hAnsi="Times New Roman"/>
          <w:sz w:val="24"/>
          <w:szCs w:val="24"/>
        </w:rPr>
        <w:lastRenderedPageBreak/>
        <w:t xml:space="preserve">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DA57D8">
        <w:rPr>
          <w:rFonts w:ascii="Times New Roman" w:eastAsia="Calibri" w:hAnsi="Times New Roman" w:cs="Times New Roman"/>
          <w:color w:val="000000"/>
          <w:sz w:val="24"/>
          <w:szCs w:val="24"/>
          <w:highlight w:val="yellow"/>
        </w:rPr>
        <w:t>0</w:t>
      </w:r>
      <w:r w:rsidR="00670D33">
        <w:rPr>
          <w:rFonts w:ascii="Times New Roman" w:eastAsia="Calibri" w:hAnsi="Times New Roman" w:cs="Times New Roman"/>
          <w:color w:val="000000"/>
          <w:sz w:val="24"/>
          <w:szCs w:val="24"/>
          <w:highlight w:val="yellow"/>
        </w:rPr>
        <w:t>6</w:t>
      </w:r>
      <w:r w:rsidR="00DA57D8">
        <w:rPr>
          <w:rFonts w:ascii="Times New Roman" w:eastAsia="Calibri" w:hAnsi="Times New Roman" w:cs="Times New Roman"/>
          <w:color w:val="000000"/>
          <w:sz w:val="24"/>
          <w:szCs w:val="24"/>
          <w:highlight w:val="yellow"/>
        </w:rPr>
        <w:t>.11</w:t>
      </w:r>
      <w:r w:rsidR="00931590" w:rsidRPr="002F3B40">
        <w:rPr>
          <w:rFonts w:ascii="Times New Roman" w:eastAsia="Calibri" w:hAnsi="Times New Roman" w:cs="Times New Roman"/>
          <w:color w:val="000000"/>
          <w:sz w:val="24"/>
          <w:szCs w:val="24"/>
          <w:highlight w:val="yellow"/>
        </w:rPr>
        <w:t>.2020 r., do godz. 10.00</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0E1B10" w:rsidP="002F3B40">
      <w:pPr>
        <w:pStyle w:val="Default"/>
        <w:tabs>
          <w:tab w:val="left" w:pos="567"/>
        </w:tabs>
        <w:spacing w:line="360" w:lineRule="auto"/>
        <w:ind w:left="567" w:hanging="567"/>
        <w:jc w:val="both"/>
      </w:pPr>
      <w:r>
        <w:lastRenderedPageBreak/>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rsidR="000E1B10" w:rsidRDefault="00DF5CEA" w:rsidP="00DF5CEA">
      <w:pPr>
        <w:pStyle w:val="Default"/>
        <w:numPr>
          <w:ilvl w:val="2"/>
          <w:numId w:val="8"/>
        </w:numPr>
        <w:spacing w:line="360" w:lineRule="auto"/>
        <w:ind w:left="567" w:hanging="567"/>
        <w:jc w:val="both"/>
        <w:rPr>
          <w:b/>
        </w:rPr>
      </w:pPr>
      <w:r w:rsidRPr="00DF5CEA">
        <w:rPr>
          <w:b/>
        </w:rPr>
        <w:t>Zamawiający zastrzega sobie możliwość zakupu mniejszej ilości asortymentu niż wskazane w przedmiotowym zapytaniu ofertowym, co wynika z możliwości finansowych Zamawiającego.</w:t>
      </w:r>
    </w:p>
    <w:p w:rsidR="00F21CF3" w:rsidRDefault="00F21CF3" w:rsidP="00D52FAA">
      <w:pPr>
        <w:pStyle w:val="Default"/>
        <w:numPr>
          <w:ilvl w:val="2"/>
          <w:numId w:val="8"/>
        </w:numPr>
        <w:spacing w:line="360" w:lineRule="auto"/>
        <w:ind w:left="567" w:hanging="567"/>
        <w:jc w:val="both"/>
        <w:rPr>
          <w:b/>
        </w:rPr>
      </w:pPr>
      <w:r w:rsidRPr="00F21CF3">
        <w:rPr>
          <w:b/>
        </w:rPr>
        <w:t>W przypadku gdy łączna wartość wybranego w postępowaniu asortymentu w poszczególnych pozycjach będzie niższa niż jego szacowana wartość, Zamawiający zastrzega sobie prawo do zwiększenia jego ilości po wcześniejszym uzgodnieniu takiej możliwości z wybranym Wykonawcą. 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 przypadku braku możliwości uzupełnienia ilości danego asortymentu przez kolejnego Wykonawcę/Wykonawców, Zamawiający zastrzega sobie prawo do zwiększenia ilości asortymentu z katalogu produktów zawartych w niniejszym zapytaniu ofertowym.</w:t>
      </w:r>
    </w:p>
    <w:p w:rsidR="00931590" w:rsidRPr="00224522"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 xml:space="preserve">Oferta musi zostać złożona na formularzach ofertowych stanowiących załączniki do niniejszego zapytania ofertowego; każda część zapytania ofertowego musi zostać zaoferowana na osobnym załączniku (załączniki nr </w:t>
      </w:r>
      <w:r w:rsidR="00224522">
        <w:rPr>
          <w:rFonts w:eastAsia="Times New Roman"/>
          <w:color w:val="000000"/>
          <w:sz w:val="24"/>
          <w:szCs w:val="24"/>
          <w:lang w:eastAsia="pl-PL"/>
        </w:rPr>
        <w:t>2</w:t>
      </w:r>
      <w:r w:rsidRPr="000320A1">
        <w:rPr>
          <w:rFonts w:eastAsia="Times New Roman"/>
          <w:color w:val="000000"/>
          <w:sz w:val="24"/>
          <w:szCs w:val="24"/>
          <w:lang w:eastAsia="pl-PL"/>
        </w:rPr>
        <w:t xml:space="preserve">.1 – </w:t>
      </w:r>
      <w:r w:rsidR="00224522">
        <w:rPr>
          <w:rFonts w:eastAsia="Times New Roman"/>
          <w:color w:val="000000"/>
          <w:sz w:val="24"/>
          <w:szCs w:val="24"/>
          <w:lang w:eastAsia="pl-PL"/>
        </w:rPr>
        <w:t>2</w:t>
      </w:r>
      <w:r w:rsidRPr="000320A1">
        <w:rPr>
          <w:rFonts w:eastAsia="Times New Roman"/>
          <w:color w:val="000000"/>
          <w:sz w:val="24"/>
          <w:szCs w:val="24"/>
          <w:lang w:eastAsia="pl-PL"/>
        </w:rPr>
        <w:t>.4).</w:t>
      </w:r>
    </w:p>
    <w:p w:rsidR="00635935" w:rsidRPr="00B66333" w:rsidRDefault="00635935" w:rsidP="00D52FAA">
      <w:pPr>
        <w:pStyle w:val="Default"/>
        <w:spacing w:line="360" w:lineRule="auto"/>
        <w:jc w:val="both"/>
      </w:pPr>
    </w:p>
    <w:p w:rsidR="00931590" w:rsidRPr="00B66333" w:rsidRDefault="00931590" w:rsidP="00931590">
      <w:pPr>
        <w:pStyle w:val="Default"/>
        <w:spacing w:line="360" w:lineRule="auto"/>
        <w:ind w:left="644"/>
        <w:jc w:val="both"/>
        <w:rPr>
          <w:u w:val="single"/>
        </w:rPr>
      </w:pPr>
      <w:r>
        <w:rPr>
          <w:b/>
          <w:bCs/>
          <w:u w:val="single"/>
        </w:rPr>
        <w:t xml:space="preserve">7. </w:t>
      </w:r>
      <w:r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I-I</w:t>
      </w:r>
      <w:r w:rsidR="000E1B10">
        <w:rPr>
          <w:b/>
          <w:bCs/>
          <w:iCs/>
          <w:kern w:val="3"/>
          <w:u w:val="single"/>
          <w:lang w:eastAsia="zh-CN" w:bidi="hi-IN"/>
        </w:rPr>
        <w:t>V</w:t>
      </w:r>
      <w:r w:rsidR="00EB53F8">
        <w:rPr>
          <w:b/>
          <w:bCs/>
          <w:iCs/>
          <w:kern w:val="3"/>
          <w:u w:val="single"/>
          <w:lang w:eastAsia="zh-CN" w:bidi="hi-IN"/>
        </w:rPr>
        <w:t>)</w:t>
      </w:r>
    </w:p>
    <w:p w:rsidR="00931590" w:rsidRPr="00B66333" w:rsidRDefault="00931590" w:rsidP="00931590">
      <w:pPr>
        <w:pStyle w:val="Default"/>
        <w:spacing w:line="360" w:lineRule="auto"/>
        <w:jc w:val="both"/>
      </w:pPr>
      <w:r w:rsidRPr="00B66333">
        <w:t xml:space="preserve">Zgodnie z art. 13 ust. 1 i 2 rozporządzenia Parlamentu Europejskiego i Rady (UE) 2016/679 z </w:t>
      </w:r>
      <w:r w:rsidRPr="00B66333">
        <w:lastRenderedPageBreak/>
        <w:t xml:space="preserve">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rsidR="00931590" w:rsidRPr="00B66333" w:rsidRDefault="00931590" w:rsidP="00931590">
      <w:pPr>
        <w:pStyle w:val="Default"/>
        <w:spacing w:line="360" w:lineRule="auto"/>
        <w:jc w:val="both"/>
      </w:pPr>
      <w:r w:rsidRPr="00B66333">
        <w:t xml:space="preserve">4) Pani/Pana dane osobowe przetwarzamy, w zależności od sprawy: </w:t>
      </w:r>
    </w:p>
    <w:p w:rsidR="00931590" w:rsidRPr="00B66333" w:rsidRDefault="00931590" w:rsidP="00931590">
      <w:pPr>
        <w:pStyle w:val="Default"/>
        <w:spacing w:line="360" w:lineRule="auto"/>
        <w:ind w:left="284"/>
        <w:jc w:val="both"/>
      </w:pPr>
      <w:r w:rsidRPr="00B66333">
        <w:t xml:space="preserve">a. na podstawie wyrażonej przez Panią/Pana zgody; </w:t>
      </w:r>
    </w:p>
    <w:p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rsidR="00931590" w:rsidRPr="00B66333" w:rsidRDefault="00931590" w:rsidP="00931590">
      <w:pPr>
        <w:pStyle w:val="Default"/>
        <w:spacing w:line="360" w:lineRule="auto"/>
        <w:ind w:left="284"/>
        <w:jc w:val="both"/>
      </w:pPr>
      <w:r w:rsidRPr="00B66333">
        <w:t xml:space="preserve">d. w związku z ochroną Pani/Pana interesów; </w:t>
      </w:r>
    </w:p>
    <w:p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rsidR="00931590" w:rsidRPr="00B66333" w:rsidRDefault="00931590" w:rsidP="00931590">
      <w:pPr>
        <w:pStyle w:val="Default"/>
        <w:spacing w:line="360" w:lineRule="auto"/>
        <w:ind w:left="284"/>
        <w:jc w:val="both"/>
      </w:pPr>
      <w:r w:rsidRPr="00B66333">
        <w:t xml:space="preserve">f. w związku ze sprawowaniem władzy publicznej. </w:t>
      </w:r>
    </w:p>
    <w:p w:rsidR="00931590" w:rsidRPr="00B66333" w:rsidRDefault="00931590" w:rsidP="00931590">
      <w:pPr>
        <w:pStyle w:val="Default"/>
        <w:spacing w:line="360" w:lineRule="auto"/>
        <w:jc w:val="both"/>
      </w:pPr>
      <w:r w:rsidRPr="00B66333">
        <w:t xml:space="preserve">5). Kategoriami odbiorców Pani/Pana danych osobowych są: </w:t>
      </w:r>
    </w:p>
    <w:p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rsidR="00931590" w:rsidRPr="00B66333" w:rsidRDefault="00931590" w:rsidP="00931590">
      <w:pPr>
        <w:pStyle w:val="Default"/>
        <w:spacing w:line="360" w:lineRule="auto"/>
        <w:jc w:val="both"/>
      </w:pPr>
      <w:r w:rsidRPr="00B66333">
        <w:lastRenderedPageBreak/>
        <w:t xml:space="preserve">8) Pani/Pana dane nie będą przetwarzane w sposób zautomatyzowany. </w:t>
      </w:r>
    </w:p>
    <w:p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931590" w:rsidRPr="00B66333" w:rsidRDefault="00931590" w:rsidP="00931590">
      <w:pPr>
        <w:pStyle w:val="Default"/>
        <w:spacing w:line="360" w:lineRule="auto"/>
        <w:jc w:val="both"/>
      </w:pPr>
      <w:r w:rsidRPr="00B66333">
        <w:t xml:space="preserve">11) Podanie danych osobowych w zależności od sprawy może być: </w:t>
      </w:r>
    </w:p>
    <w:p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rsidR="00931590" w:rsidRPr="00B66333" w:rsidRDefault="00931590" w:rsidP="00931590">
      <w:pPr>
        <w:pStyle w:val="Default"/>
        <w:spacing w:line="360" w:lineRule="auto"/>
        <w:ind w:left="284"/>
        <w:jc w:val="both"/>
      </w:pPr>
      <w:r w:rsidRPr="00B66333">
        <w:t xml:space="preserve">b. warunkiem zawarcia umowy; </w:t>
      </w:r>
    </w:p>
    <w:p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rsidR="00931590" w:rsidRPr="00B66333" w:rsidRDefault="00931590" w:rsidP="00931590">
      <w:pPr>
        <w:pStyle w:val="Default"/>
        <w:spacing w:line="360" w:lineRule="auto"/>
        <w:jc w:val="both"/>
      </w:pPr>
    </w:p>
    <w:p w:rsidR="00931590" w:rsidRPr="00B66333" w:rsidRDefault="00931590" w:rsidP="00931590">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DA57D8">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93629F" w:rsidRDefault="00931590" w:rsidP="00931590">
      <w:pPr>
        <w:spacing w:after="0"/>
        <w:jc w:val="right"/>
        <w:rPr>
          <w:rFonts w:ascii="Times New Roman" w:hAnsi="Times New Roman"/>
          <w:sz w:val="12"/>
          <w:szCs w:val="24"/>
        </w:rPr>
      </w:pPr>
    </w:p>
    <w:p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rsidR="00931590" w:rsidRPr="002544F7" w:rsidRDefault="00931590" w:rsidP="00931590">
      <w:pPr>
        <w:spacing w:after="0"/>
        <w:jc w:val="right"/>
        <w:rPr>
          <w:rFonts w:ascii="Times New Roman" w:hAnsi="Times New Roman"/>
          <w:sz w:val="24"/>
          <w:szCs w:val="24"/>
          <w:lang w:val="en-US"/>
        </w:rPr>
      </w:pPr>
    </w:p>
    <w:p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1B7D7D" w:rsidRDefault="00931590" w:rsidP="005A38E1">
      <w:pPr>
        <w:spacing w:after="0"/>
        <w:jc w:val="right"/>
        <w:rPr>
          <w:rFonts w:ascii="Times New Roman" w:hAnsi="Times New Roman"/>
          <w:sz w:val="24"/>
          <w:szCs w:val="24"/>
        </w:rPr>
      </w:pPr>
      <w:r w:rsidRPr="001B7D7D">
        <w:rPr>
          <w:rFonts w:ascii="Times New Roman" w:hAnsi="Times New Roman"/>
          <w:sz w:val="24"/>
          <w:szCs w:val="24"/>
        </w:rPr>
        <w:t>adres e-mail: agata.zulawa@sejmik.kielce.pl</w:t>
      </w:r>
    </w:p>
    <w:p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400084" w:rsidRDefault="00400084"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1.1</w:t>
      </w:r>
      <w:r w:rsidRPr="00702EA0">
        <w:rPr>
          <w:rFonts w:ascii="Times New Roman" w:eastAsia="Calibri" w:hAnsi="Times New Roman" w:cs="Times New Roman"/>
          <w:color w:val="000000"/>
          <w:sz w:val="24"/>
          <w:szCs w:val="24"/>
        </w:rPr>
        <w:tab/>
      </w:r>
      <w:r w:rsidR="00F27F96">
        <w:rPr>
          <w:rFonts w:ascii="Times New Roman" w:eastAsia="Calibri" w:hAnsi="Times New Roman" w:cs="Times New Roman"/>
          <w:color w:val="000000"/>
          <w:sz w:val="24"/>
          <w:szCs w:val="24"/>
        </w:rPr>
        <w:t xml:space="preserve">Część I </w:t>
      </w:r>
      <w:r w:rsidR="003A0F0D" w:rsidRPr="003A0F0D">
        <w:rPr>
          <w:rFonts w:ascii="Times New Roman" w:eastAsia="Calibri" w:hAnsi="Times New Roman" w:cs="Times New Roman"/>
          <w:bCs/>
          <w:iCs/>
          <w:color w:val="000000"/>
          <w:sz w:val="24"/>
          <w:szCs w:val="24"/>
        </w:rPr>
        <w:t xml:space="preserve">Zakup i dostawa sprzętu rehabilitacyjnego i medycznego w ramach </w:t>
      </w:r>
      <w:r w:rsidR="003A0F0D" w:rsidRPr="003A0F0D">
        <w:rPr>
          <w:rFonts w:ascii="Times New Roman" w:eastAsia="Calibri" w:hAnsi="Times New Roman" w:cs="Times New Roman"/>
          <w:bCs/>
          <w:iCs/>
          <w:color w:val="000000"/>
          <w:sz w:val="24"/>
          <w:szCs w:val="24"/>
        </w:rPr>
        <w:lastRenderedPageBreak/>
        <w:t>projektu socjalnego – gmina Łopuszno/powiat kielecki</w:t>
      </w:r>
    </w:p>
    <w:p w:rsidR="00DE280D" w:rsidRDefault="00DE280D"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1.2</w:t>
      </w:r>
      <w:r w:rsidRPr="00702EA0">
        <w:rPr>
          <w:rFonts w:ascii="Times New Roman" w:eastAsia="Calibri" w:hAnsi="Times New Roman" w:cs="Times New Roman"/>
          <w:color w:val="000000"/>
          <w:sz w:val="24"/>
          <w:szCs w:val="24"/>
        </w:rPr>
        <w:tab/>
      </w:r>
      <w:r w:rsidR="00F27F96">
        <w:rPr>
          <w:rFonts w:ascii="Times New Roman" w:eastAsia="Calibri" w:hAnsi="Times New Roman" w:cs="Times New Roman"/>
          <w:color w:val="000000"/>
          <w:sz w:val="24"/>
          <w:szCs w:val="24"/>
        </w:rPr>
        <w:t xml:space="preserve">Część II </w:t>
      </w:r>
      <w:r w:rsidRPr="003A0F0D">
        <w:rPr>
          <w:rFonts w:ascii="Times New Roman" w:eastAsia="Calibri" w:hAnsi="Times New Roman" w:cs="Times New Roman"/>
          <w:bCs/>
          <w:iCs/>
          <w:color w:val="000000"/>
          <w:sz w:val="24"/>
          <w:szCs w:val="24"/>
        </w:rPr>
        <w:t xml:space="preserve">Zakup i dostawa sprzętu rehabilitacyjnego i medycznego w ramach projektu socjalnego – </w:t>
      </w:r>
      <w:r w:rsidR="00F27F96" w:rsidRPr="007302DF">
        <w:rPr>
          <w:rFonts w:ascii="Times New Roman" w:eastAsia="Times New Roman" w:hAnsi="Times New Roman" w:cs="Times New Roman"/>
          <w:bCs/>
          <w:iCs/>
          <w:sz w:val="24"/>
          <w:szCs w:val="24"/>
          <w:lang w:eastAsia="pl-PL"/>
        </w:rPr>
        <w:t xml:space="preserve">gmina </w:t>
      </w:r>
      <w:r w:rsidR="00F27F96">
        <w:rPr>
          <w:rFonts w:ascii="Times New Roman" w:eastAsia="Times New Roman" w:hAnsi="Times New Roman" w:cs="Times New Roman"/>
          <w:bCs/>
          <w:iCs/>
          <w:sz w:val="24"/>
          <w:szCs w:val="24"/>
          <w:lang w:eastAsia="pl-PL"/>
        </w:rPr>
        <w:t>Oksa/powiat jędrzejowski</w:t>
      </w:r>
    </w:p>
    <w:p w:rsidR="00DE280D" w:rsidRDefault="00F27F96"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1.3</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Część III </w:t>
      </w:r>
      <w:r w:rsidRPr="003A0F0D">
        <w:rPr>
          <w:rFonts w:ascii="Times New Roman" w:eastAsia="Calibri" w:hAnsi="Times New Roman" w:cs="Times New Roman"/>
          <w:bCs/>
          <w:iCs/>
          <w:color w:val="000000"/>
          <w:sz w:val="24"/>
          <w:szCs w:val="24"/>
        </w:rPr>
        <w:t xml:space="preserve">Zakup i dostawa sprzętu rehabilitacyjnego i medycznego w ramach projektu socjalnego – </w:t>
      </w:r>
      <w:r w:rsidRPr="00F27F96">
        <w:rPr>
          <w:rFonts w:ascii="Times New Roman" w:eastAsia="Times New Roman" w:hAnsi="Times New Roman" w:cs="Times New Roman"/>
          <w:bCs/>
          <w:iCs/>
          <w:sz w:val="24"/>
          <w:szCs w:val="24"/>
          <w:lang w:eastAsia="pl-PL"/>
        </w:rPr>
        <w:t>gmina Bogoria/powiat staszowski</w:t>
      </w:r>
    </w:p>
    <w:p w:rsidR="00F27F96" w:rsidRDefault="00F27F96"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Załącznik nr 1.4</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Część IV </w:t>
      </w:r>
      <w:r w:rsidRPr="003A0F0D">
        <w:rPr>
          <w:rFonts w:ascii="Times New Roman" w:eastAsia="Calibri" w:hAnsi="Times New Roman" w:cs="Times New Roman"/>
          <w:bCs/>
          <w:iCs/>
          <w:color w:val="000000"/>
          <w:sz w:val="24"/>
          <w:szCs w:val="24"/>
        </w:rPr>
        <w:t xml:space="preserve">Zakup i dostawa sprzętu rehabilitacyjnego i medycznego w ramach projektu socjalnego –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Wodzisław/powiat jędrzejowski</w:t>
      </w:r>
    </w:p>
    <w:p w:rsidR="00931590" w:rsidRDefault="00931590"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 xml:space="preserve">Załącznik nr </w:t>
      </w:r>
      <w:r w:rsidR="00400084">
        <w:rPr>
          <w:rFonts w:ascii="Times New Roman" w:eastAsia="Calibri" w:hAnsi="Times New Roman" w:cs="Times New Roman"/>
          <w:b/>
          <w:color w:val="000000"/>
          <w:sz w:val="24"/>
          <w:szCs w:val="24"/>
        </w:rPr>
        <w:t>2.1</w:t>
      </w:r>
      <w:r w:rsidRPr="00702EA0">
        <w:rPr>
          <w:rFonts w:ascii="Times New Roman" w:eastAsia="Calibri" w:hAnsi="Times New Roman" w:cs="Times New Roman"/>
          <w:color w:val="000000"/>
          <w:sz w:val="24"/>
          <w:szCs w:val="24"/>
        </w:rPr>
        <w:tab/>
        <w:t>Formularz oferty</w:t>
      </w:r>
      <w:r w:rsidR="00400084">
        <w:rPr>
          <w:rFonts w:ascii="Times New Roman" w:eastAsia="Calibri" w:hAnsi="Times New Roman" w:cs="Times New Roman"/>
          <w:color w:val="000000"/>
          <w:sz w:val="24"/>
          <w:szCs w:val="24"/>
        </w:rPr>
        <w:t xml:space="preserve"> - </w:t>
      </w:r>
      <w:r w:rsidR="00F27F96">
        <w:rPr>
          <w:rFonts w:ascii="Times New Roman" w:eastAsia="Calibri" w:hAnsi="Times New Roman" w:cs="Times New Roman"/>
          <w:color w:val="000000"/>
          <w:sz w:val="24"/>
          <w:szCs w:val="24"/>
        </w:rPr>
        <w:t>Część I</w:t>
      </w:r>
      <w:r w:rsidRPr="00702EA0">
        <w:rPr>
          <w:rFonts w:ascii="Times New Roman" w:eastAsia="Calibri" w:hAnsi="Times New Roman" w:cs="Times New Roman"/>
          <w:color w:val="000000"/>
          <w:sz w:val="24"/>
          <w:szCs w:val="24"/>
        </w:rPr>
        <w:t xml:space="preserve"> </w:t>
      </w:r>
      <w:r w:rsidR="00F27F96" w:rsidRPr="003A0F0D">
        <w:rPr>
          <w:rFonts w:ascii="Times New Roman" w:eastAsia="Calibri" w:hAnsi="Times New Roman" w:cs="Times New Roman"/>
          <w:bCs/>
          <w:iCs/>
          <w:color w:val="000000"/>
          <w:sz w:val="24"/>
          <w:szCs w:val="24"/>
        </w:rPr>
        <w:t xml:space="preserve"> gmina Łopuszno/powiat kielecki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2.2</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II</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Oksa/powiat jędrzejowski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2.3</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III</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F27F96">
        <w:rPr>
          <w:rFonts w:ascii="Times New Roman" w:eastAsia="Times New Roman" w:hAnsi="Times New Roman" w:cs="Times New Roman"/>
          <w:bCs/>
          <w:iCs/>
          <w:sz w:val="24"/>
          <w:szCs w:val="24"/>
          <w:lang w:eastAsia="pl-PL"/>
        </w:rPr>
        <w:t>gmina Bogoria/powiat staszowski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2.4</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IV</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Wodzisław/powiat jędrzejowski</w:t>
      </w:r>
    </w:p>
    <w:p w:rsidR="00400084" w:rsidRPr="00702EA0" w:rsidRDefault="00400084" w:rsidP="00F27F96">
      <w:pPr>
        <w:tabs>
          <w:tab w:val="left" w:pos="1701"/>
        </w:tabs>
        <w:autoSpaceDE w:val="0"/>
        <w:autoSpaceDN w:val="0"/>
        <w:adjustRightInd w:val="0"/>
        <w:spacing w:after="0" w:line="276" w:lineRule="auto"/>
        <w:ind w:right="-428"/>
        <w:rPr>
          <w:rFonts w:ascii="Times New Roman" w:eastAsia="Calibri" w:hAnsi="Times New Roman" w:cs="Times New Roman"/>
          <w:color w:val="000000"/>
          <w:sz w:val="24"/>
          <w:szCs w:val="24"/>
        </w:rPr>
      </w:pPr>
    </w:p>
    <w:p w:rsidR="00931590" w:rsidRPr="00702EA0" w:rsidRDefault="00931590" w:rsidP="00243E90">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28" w:rsidRDefault="00B62428" w:rsidP="007653B4">
      <w:pPr>
        <w:spacing w:after="0" w:line="240" w:lineRule="auto"/>
      </w:pPr>
      <w:r>
        <w:separator/>
      </w:r>
    </w:p>
  </w:endnote>
  <w:endnote w:type="continuationSeparator" w:id="0">
    <w:p w:rsidR="00B62428" w:rsidRDefault="00B62428"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3A0F0D">
    <w:pPr>
      <w:pStyle w:val="Stopka"/>
    </w:pPr>
    <w:r>
      <w:rPr>
        <w:noProof/>
        <w:lang w:eastAsia="pl-PL"/>
      </w:rPr>
      <w:drawing>
        <wp:anchor distT="0" distB="0" distL="114300" distR="114300" simplePos="0" relativeHeight="251663360" behindDoc="0" locked="0" layoutInCell="1" allowOverlap="1" wp14:anchorId="602A6B85" wp14:editId="566BB70A">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28" w:rsidRDefault="00B62428" w:rsidP="007653B4">
      <w:pPr>
        <w:spacing w:after="0" w:line="240" w:lineRule="auto"/>
      </w:pPr>
      <w:r>
        <w:separator/>
      </w:r>
    </w:p>
  </w:footnote>
  <w:footnote w:type="continuationSeparator" w:id="0">
    <w:p w:rsidR="00B62428" w:rsidRDefault="00B62428"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B62428">
    <w:pPr>
      <w:pStyle w:val="Nagwek"/>
    </w:pPr>
    <w:sdt>
      <w:sdtPr>
        <w:id w:val="-769932401"/>
        <w:docPartObj>
          <w:docPartGallery w:val="Page Numbers (Margins)"/>
          <w:docPartUnique/>
        </w:docPartObj>
      </w:sdtPr>
      <w:sdtEndPr/>
      <w:sdtContent>
        <w:r w:rsidR="003A0F0D">
          <w:rPr>
            <w:noProof/>
            <w:lang w:eastAsia="pl-PL"/>
          </w:rPr>
          <mc:AlternateContent>
            <mc:Choice Requires="wps">
              <w:drawing>
                <wp:anchor distT="0" distB="0" distL="114300" distR="114300" simplePos="0" relativeHeight="251662336" behindDoc="0" locked="0" layoutInCell="0" allowOverlap="1" wp14:anchorId="62D908A6" wp14:editId="3B2DACE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DE07F8">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DE07F8">
                          <w:rPr>
                            <w:noProof/>
                          </w:rPr>
                          <w:t>1</w:t>
                        </w:r>
                        <w:r>
                          <w:fldChar w:fldCharType="end"/>
                        </w:r>
                      </w:p>
                    </w:txbxContent>
                  </v:textbox>
                  <w10:wrap anchorx="margin" anchory="margin"/>
                </v:rect>
              </w:pict>
            </mc:Fallback>
          </mc:AlternateContent>
        </w:r>
      </w:sdtContent>
    </w:sdt>
    <w:r w:rsidR="003A0F0D">
      <w:rPr>
        <w:noProof/>
        <w:lang w:eastAsia="pl-PL"/>
      </w:rPr>
      <w:drawing>
        <wp:anchor distT="0" distB="0" distL="114300" distR="114300" simplePos="0" relativeHeight="251660288" behindDoc="1" locked="0" layoutInCell="1" allowOverlap="1" wp14:anchorId="6250247D" wp14:editId="3794BD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7">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5">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2">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7">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4">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5">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33"/>
  </w:num>
  <w:num w:numId="4">
    <w:abstractNumId w:val="24"/>
  </w:num>
  <w:num w:numId="5">
    <w:abstractNumId w:val="34"/>
  </w:num>
  <w:num w:numId="6">
    <w:abstractNumId w:val="47"/>
  </w:num>
  <w:num w:numId="7">
    <w:abstractNumId w:val="40"/>
  </w:num>
  <w:num w:numId="8">
    <w:abstractNumId w:val="6"/>
  </w:num>
  <w:num w:numId="9">
    <w:abstractNumId w:val="4"/>
  </w:num>
  <w:num w:numId="10">
    <w:abstractNumId w:val="1"/>
  </w:num>
  <w:num w:numId="11">
    <w:abstractNumId w:val="30"/>
  </w:num>
  <w:num w:numId="12">
    <w:abstractNumId w:val="45"/>
  </w:num>
  <w:num w:numId="13">
    <w:abstractNumId w:val="41"/>
  </w:num>
  <w:num w:numId="14">
    <w:abstractNumId w:val="43"/>
  </w:num>
  <w:num w:numId="15">
    <w:abstractNumId w:val="20"/>
  </w:num>
  <w:num w:numId="16">
    <w:abstractNumId w:val="26"/>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27"/>
  </w:num>
  <w:num w:numId="21">
    <w:abstractNumId w:val="44"/>
  </w:num>
  <w:num w:numId="22">
    <w:abstractNumId w:val="11"/>
  </w:num>
  <w:num w:numId="23">
    <w:abstractNumId w:val="16"/>
  </w:num>
  <w:num w:numId="24">
    <w:abstractNumId w:val="2"/>
  </w:num>
  <w:num w:numId="25">
    <w:abstractNumId w:val="14"/>
  </w:num>
  <w:num w:numId="26">
    <w:abstractNumId w:val="3"/>
  </w:num>
  <w:num w:numId="27">
    <w:abstractNumId w:val="37"/>
  </w:num>
  <w:num w:numId="28">
    <w:abstractNumId w:val="23"/>
  </w:num>
  <w:num w:numId="29">
    <w:abstractNumId w:val="39"/>
  </w:num>
  <w:num w:numId="30">
    <w:abstractNumId w:val="51"/>
  </w:num>
  <w:num w:numId="31">
    <w:abstractNumId w:val="18"/>
  </w:num>
  <w:num w:numId="32">
    <w:abstractNumId w:val="35"/>
  </w:num>
  <w:num w:numId="33">
    <w:abstractNumId w:val="28"/>
  </w:num>
  <w:num w:numId="34">
    <w:abstractNumId w:val="9"/>
  </w:num>
  <w:num w:numId="35">
    <w:abstractNumId w:val="10"/>
  </w:num>
  <w:num w:numId="36">
    <w:abstractNumId w:val="31"/>
  </w:num>
  <w:num w:numId="37">
    <w:abstractNumId w:val="22"/>
  </w:num>
  <w:num w:numId="38">
    <w:abstractNumId w:val="38"/>
  </w:num>
  <w:num w:numId="39">
    <w:abstractNumId w:val="25"/>
  </w:num>
  <w:num w:numId="40">
    <w:abstractNumId w:val="7"/>
  </w:num>
  <w:num w:numId="41">
    <w:abstractNumId w:val="50"/>
  </w:num>
  <w:num w:numId="42">
    <w:abstractNumId w:val="32"/>
  </w:num>
  <w:num w:numId="43">
    <w:abstractNumId w:val="19"/>
  </w:num>
  <w:num w:numId="44">
    <w:abstractNumId w:val="49"/>
  </w:num>
  <w:num w:numId="45">
    <w:abstractNumId w:val="46"/>
  </w:num>
  <w:num w:numId="46">
    <w:abstractNumId w:val="13"/>
  </w:num>
  <w:num w:numId="47">
    <w:abstractNumId w:val="36"/>
  </w:num>
  <w:num w:numId="48">
    <w:abstractNumId w:val="8"/>
  </w:num>
  <w:num w:numId="49">
    <w:abstractNumId w:val="21"/>
  </w:num>
  <w:num w:numId="50">
    <w:abstractNumId w:val="29"/>
  </w:num>
  <w:num w:numId="51">
    <w:abstractNumId w:val="4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B0567"/>
    <w:rsid w:val="00AB43DC"/>
    <w:rsid w:val="00AD0C23"/>
    <w:rsid w:val="00AD48A0"/>
    <w:rsid w:val="00AF11F3"/>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6195"/>
    <w:rsid w:val="00C10246"/>
    <w:rsid w:val="00C145D5"/>
    <w:rsid w:val="00C20660"/>
    <w:rsid w:val="00C33D24"/>
    <w:rsid w:val="00C43989"/>
    <w:rsid w:val="00C456FB"/>
    <w:rsid w:val="00C528D6"/>
    <w:rsid w:val="00C607F5"/>
    <w:rsid w:val="00C71A24"/>
    <w:rsid w:val="00C71A74"/>
    <w:rsid w:val="00C72089"/>
    <w:rsid w:val="00C72E9D"/>
    <w:rsid w:val="00C81A2B"/>
    <w:rsid w:val="00C824CD"/>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421A"/>
    <w:rsid w:val="00E251D4"/>
    <w:rsid w:val="00E27F46"/>
    <w:rsid w:val="00E3004D"/>
    <w:rsid w:val="00E332CF"/>
    <w:rsid w:val="00E346B3"/>
    <w:rsid w:val="00E36A89"/>
    <w:rsid w:val="00E42D2B"/>
    <w:rsid w:val="00E43A04"/>
    <w:rsid w:val="00E46841"/>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99AC-A5AD-4E25-9B87-4687900A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13</Pages>
  <Words>3050</Words>
  <Characters>18306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Bulińska, Marzena</cp:lastModifiedBy>
  <cp:revision>37</cp:revision>
  <cp:lastPrinted>2020-11-02T06:41:00Z</cp:lastPrinted>
  <dcterms:created xsi:type="dcterms:W3CDTF">2020-10-26T13:56:00Z</dcterms:created>
  <dcterms:modified xsi:type="dcterms:W3CDTF">2020-11-02T10:34:00Z</dcterms:modified>
</cp:coreProperties>
</file>