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BA" w:rsidRPr="00793FBA" w:rsidRDefault="00793FBA" w:rsidP="00793FBA">
      <w:pPr>
        <w:pStyle w:val="Nagwek"/>
        <w:spacing w:line="360" w:lineRule="auto"/>
        <w:rPr>
          <w:rFonts w:asciiTheme="minorHAnsi" w:hAnsiTheme="minorHAnsi"/>
        </w:rPr>
      </w:pPr>
      <w:r w:rsidRPr="00793FBA">
        <w:rPr>
          <w:rFonts w:asciiTheme="minorHAnsi" w:hAnsiTheme="minorHAnsi"/>
        </w:rPr>
        <w:t>Załącznik nr 1 do SOPZ</w:t>
      </w:r>
    </w:p>
    <w:p w:rsidR="00793FBA" w:rsidRPr="00793FBA" w:rsidRDefault="00793FBA" w:rsidP="00793FBA">
      <w:pPr>
        <w:spacing w:after="120" w:line="360" w:lineRule="auto"/>
        <w:jc w:val="both"/>
        <w:rPr>
          <w:rFonts w:asciiTheme="minorHAnsi" w:hAnsiTheme="minorHAnsi" w:cs="Arial"/>
          <w:b/>
          <w:bCs/>
        </w:rPr>
      </w:pPr>
    </w:p>
    <w:p w:rsidR="00793FBA" w:rsidRPr="00793FBA" w:rsidRDefault="00793FBA" w:rsidP="00793FBA">
      <w:pPr>
        <w:spacing w:after="120" w:line="360" w:lineRule="auto"/>
        <w:jc w:val="both"/>
        <w:rPr>
          <w:rFonts w:asciiTheme="minorHAnsi" w:hAnsiTheme="minorHAnsi" w:cs="Arial"/>
          <w:b/>
          <w:bCs/>
        </w:rPr>
      </w:pPr>
      <w:r w:rsidRPr="00793FBA">
        <w:rPr>
          <w:rFonts w:asciiTheme="minorHAnsi" w:hAnsiTheme="minorHAnsi" w:cs="Arial"/>
          <w:b/>
          <w:bCs/>
        </w:rPr>
        <w:t xml:space="preserve">Opis Zadania polegającego na współpracy z Urzędami Marszałkowskimi </w:t>
      </w:r>
      <w:r w:rsidRPr="00793FBA">
        <w:rPr>
          <w:rFonts w:asciiTheme="minorHAnsi" w:hAnsiTheme="minorHAnsi" w:cs="Arial"/>
          <w:b/>
          <w:color w:val="000000"/>
        </w:rPr>
        <w:t>w zakresie wzmacniania zdolności gmin do programowania i wdrażania działań rewitalizacyjnych</w:t>
      </w:r>
    </w:p>
    <w:p w:rsidR="00793FBA" w:rsidRPr="00793FBA" w:rsidRDefault="00793FBA" w:rsidP="00793FBA">
      <w:pPr>
        <w:spacing w:after="120" w:line="360" w:lineRule="auto"/>
        <w:jc w:val="both"/>
        <w:rPr>
          <w:rFonts w:asciiTheme="minorHAnsi" w:hAnsiTheme="minorHAnsi" w:cs="Arial"/>
          <w:b/>
          <w:bCs/>
        </w:rPr>
      </w:pPr>
    </w:p>
    <w:p w:rsidR="00793FBA" w:rsidRPr="00793FBA" w:rsidRDefault="00793FBA" w:rsidP="00793FBA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Theme="minorHAnsi" w:hAnsiTheme="minorHAnsi" w:cs="Arial"/>
          <w:b/>
          <w:bCs/>
        </w:rPr>
      </w:pPr>
      <w:r w:rsidRPr="00793FBA">
        <w:rPr>
          <w:rFonts w:asciiTheme="minorHAnsi" w:hAnsiTheme="minorHAnsi" w:cs="Arial"/>
          <w:b/>
          <w:bCs/>
        </w:rPr>
        <w:t>Tło Zadania</w:t>
      </w:r>
    </w:p>
    <w:p w:rsidR="00793FBA" w:rsidRPr="00793FBA" w:rsidRDefault="00793FBA" w:rsidP="00793FBA">
      <w:pPr>
        <w:spacing w:before="120" w:after="120" w:line="360" w:lineRule="auto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>W perspektywie finansowej 2014-2020 rewitalizacja jest jednym z obszarów szczególnej uwagi i koncentracji działań – w Umowie Partnerstwa wprost został wskazany obszar strategicznej interwencji „Miasta i dzielnice miast wymagające rewitalizacji”. Stwierdza się także, że „ważnym wnioskiem płynącym z dotychczasowych doświadczeń jest potrzeba zwiększenia kompleksowości działań rewitalizacyjnych (synergia działań na danym obszarze w sferze infrastrukturalnej, społecznej, środowiskowej, efektywności energetycznej, itd.) w oparciu o określoną przez samorząd i interesariuszy spójną wizję i program wyprowadzenia danego obszaru z sytuacji kryzysowej. Ponadto, potrzebne jest większe zaangażowanie organizacji pozarządowych oraz podmiotów bezpośrednio zainteresowanych, nie tylko poprzez pozyskiwanie danych (informacje), ale także powierzanie im realizacji działań społecznych. W tym celu przydatne jest poszukiwanie liderów działań i ścisła współpraca z nimi. W latach 2014</w:t>
      </w:r>
      <w:r w:rsidRPr="00793FBA">
        <w:rPr>
          <w:rFonts w:asciiTheme="minorHAnsi" w:hAnsiTheme="minorHAnsi" w:cs="Cambria Math"/>
        </w:rPr>
        <w:t>‐</w:t>
      </w:r>
      <w:r w:rsidRPr="00793FBA">
        <w:rPr>
          <w:rFonts w:asciiTheme="minorHAnsi" w:hAnsiTheme="minorHAnsi" w:cs="Arial"/>
        </w:rPr>
        <w:t xml:space="preserve">2020 należy określić procesy rewitalizacji przy założeniu precyzyjnego skoncentrowania na najbardziej problemowych (zdegradowanych) obszarach gmin”. Wnioski te stały się podstawą do przygotowania założeń krajowego systemu wsparcia rewitalizacji. </w:t>
      </w:r>
    </w:p>
    <w:p w:rsidR="00793FBA" w:rsidRPr="00793FBA" w:rsidRDefault="00793FBA" w:rsidP="00793FBA">
      <w:pPr>
        <w:spacing w:before="120" w:after="120" w:line="360" w:lineRule="auto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W ostatnich czterech latach inicjatywy i działania rewitalizacyjne w Polsce bardzo przyspieszyły. Sprzyja temu „Pakiet działań wspierających samorządy w programowaniu i realizacji rewitalizacji” – uruchomiony przez Ministerstwo Inwestycji i Rozwoju, jeden z projektów strategicznych „Strategii na rzecz Odpowiedzialnego Rozwoju”. Szczegółowe zasady wsparcia procesu przygotowania i wdrażania rewitalizacji w regionalnych i krajowych programach operacyjnych zostały określone w „Wytycznych Ministra Rozwoju w zakresie rewitalizacji w programach operacyjnych na lata 2014-2020”. Natomiast w 2015 r. weszła w życie ustawa o rewitalizacji określająca warunki prowadzenia procesów rewitalizacji w gminach. Oprócz stworzenia warunków prawnych i finansowych do prowadzenia procesu </w:t>
      </w:r>
      <w:r w:rsidRPr="00793FBA">
        <w:rPr>
          <w:rFonts w:asciiTheme="minorHAnsi" w:hAnsiTheme="minorHAnsi" w:cs="Arial"/>
        </w:rPr>
        <w:lastRenderedPageBreak/>
        <w:t xml:space="preserve">rewitalizacji, projekt obejmuje wsparcie dotacyjne i edukacyjne w upowszechnianie nowego podejścia do rewitalizacji.  W celu wsparcia gmin resort uruchomił środki na kwotę prawie 114 mln zł z Programu Operacyjnego Pomoc Techniczna 2014-2020. Środki te przekazywane są w ramach prowadzonych przez Ministerstwo konkursów dotacji (Modelowa Rewitalizacja Miast i konkursów </w:t>
      </w:r>
      <w:r w:rsidRPr="00793FBA">
        <w:rPr>
          <w:rFonts w:asciiTheme="minorHAnsi" w:hAnsiTheme="minorHAnsi" w:cs="Arial"/>
          <w:bCs/>
        </w:rPr>
        <w:t>na przygotowanie programów rewitalizacji</w:t>
      </w:r>
      <w:r w:rsidRPr="00793FBA">
        <w:rPr>
          <w:rFonts w:asciiTheme="minorHAnsi" w:hAnsiTheme="minorHAnsi" w:cs="Arial"/>
        </w:rPr>
        <w:t xml:space="preserve"> realizowanego we współpracy z urzędami marszałkowskimi) oraz wsparcia realizacji projektów pilotażowych w trzech miastach: Bytomiu, Łodzi, Wałbrzychu.</w:t>
      </w:r>
    </w:p>
    <w:p w:rsidR="00793FBA" w:rsidRPr="00793FBA" w:rsidRDefault="00793FBA" w:rsidP="00793FBA">
      <w:pPr>
        <w:spacing w:before="120" w:after="120" w:line="360" w:lineRule="auto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>W latach 2015-2018 Ministerstwo wspólnie z urzędami marszałkowskimi zorganizowało konkursy dotacji dla gmin na przygotowanie lub aktualizację programów rewitalizacji. Celem realizacji zadania było wsparcie służb Instytucji Zarządzających Regionalnymi Programami Operacyjnymi poprzez powstanie Zespołów ds. Rewitalizacji, a następnie wsparcie gmin w procesie opracowywania bądź aktualizowania programów rewitalizacji. W tym przypadku istotne było upowszechnienie wiedzy na temat cech i elementów dobrych programów rewitalizacji, tj. zapewniających trwałe efekty podejmowanych interwencji. Współpracę z Ministerstwem zadeklarowało piętnaście województw (z wyjątkiem województwa warmińsko-mazurskiego). Na podstawie umowy każde województwo otrzymało dotację celową na realizację zadania polegającego na:</w:t>
      </w:r>
    </w:p>
    <w:p w:rsidR="00793FBA" w:rsidRPr="00793FBA" w:rsidRDefault="00793FBA" w:rsidP="00793FBA">
      <w:pPr>
        <w:pStyle w:val="Akapitzlist"/>
        <w:numPr>
          <w:ilvl w:val="0"/>
          <w:numId w:val="7"/>
        </w:numPr>
        <w:spacing w:before="120" w:after="120" w:line="360" w:lineRule="auto"/>
        <w:ind w:left="714" w:hanging="357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wskazaniu</w:t>
      </w:r>
      <w:proofErr w:type="gramEnd"/>
      <w:r w:rsidRPr="00793FBA">
        <w:rPr>
          <w:rFonts w:asciiTheme="minorHAnsi" w:hAnsiTheme="minorHAnsi" w:cs="Arial"/>
        </w:rPr>
        <w:t xml:space="preserve"> w urzędzie marszałkowskim Zespołu ds. rewitalizacji;</w:t>
      </w:r>
    </w:p>
    <w:p w:rsidR="00793FBA" w:rsidRPr="00793FBA" w:rsidRDefault="00793FBA" w:rsidP="00793FBA">
      <w:pPr>
        <w:pStyle w:val="Akapitzlist"/>
        <w:numPr>
          <w:ilvl w:val="0"/>
          <w:numId w:val="7"/>
        </w:numPr>
        <w:spacing w:before="120"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>przygotowaniu i ogłoszeniu konkursu dotacji dla gmin na opracowanie albo aktualizację programów rewitalizacji przez gminy zlokalizowane na terenie danego województwa – głównym celem konkursu było wsparcie gmin w uruchomieniu procesów zmierzających do rewitalizacji obszarów zdegradowanych m.in. w ramach RPO, poprzez pomoc w </w:t>
      </w:r>
      <w:proofErr w:type="gramStart"/>
      <w:r w:rsidRPr="00793FBA">
        <w:rPr>
          <w:rFonts w:asciiTheme="minorHAnsi" w:hAnsiTheme="minorHAnsi" w:cs="Arial"/>
        </w:rPr>
        <w:t>przygotowaniu  programów</w:t>
      </w:r>
      <w:proofErr w:type="gramEnd"/>
      <w:r w:rsidRPr="00793FBA">
        <w:rPr>
          <w:rFonts w:asciiTheme="minorHAnsi" w:hAnsiTheme="minorHAnsi" w:cs="Arial"/>
        </w:rPr>
        <w:t xml:space="preserve"> rewitalizacji jako dokumentów podstawowych dla prowadzenia tych procesów;</w:t>
      </w:r>
    </w:p>
    <w:p w:rsidR="00793FBA" w:rsidRPr="00793FBA" w:rsidRDefault="00793FBA" w:rsidP="00793FBA">
      <w:pPr>
        <w:pStyle w:val="Akapitzlist"/>
        <w:numPr>
          <w:ilvl w:val="0"/>
          <w:numId w:val="7"/>
        </w:numPr>
        <w:spacing w:before="120" w:after="120" w:line="360" w:lineRule="auto"/>
        <w:ind w:left="714" w:hanging="357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przygotowaniu</w:t>
      </w:r>
      <w:proofErr w:type="gramEnd"/>
      <w:r w:rsidRPr="00793FBA">
        <w:rPr>
          <w:rFonts w:asciiTheme="minorHAnsi" w:hAnsiTheme="minorHAnsi" w:cs="Arial"/>
        </w:rPr>
        <w:t xml:space="preserve"> spotkań informacyjnych i edukacyjnych;</w:t>
      </w:r>
    </w:p>
    <w:p w:rsidR="00793FBA" w:rsidRPr="00793FBA" w:rsidRDefault="00793FBA" w:rsidP="00793FBA">
      <w:pPr>
        <w:pStyle w:val="Akapitzlist"/>
        <w:numPr>
          <w:ilvl w:val="0"/>
          <w:numId w:val="7"/>
        </w:numPr>
        <w:spacing w:before="120" w:after="120" w:line="360" w:lineRule="auto"/>
        <w:ind w:left="714" w:hanging="357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ocenie</w:t>
      </w:r>
      <w:proofErr w:type="gramEnd"/>
      <w:r w:rsidRPr="00793FBA">
        <w:rPr>
          <w:rFonts w:asciiTheme="minorHAnsi" w:hAnsiTheme="minorHAnsi" w:cs="Arial"/>
        </w:rPr>
        <w:t xml:space="preserve"> programów rewitalizacji.</w:t>
      </w:r>
    </w:p>
    <w:p w:rsidR="00793FBA" w:rsidRPr="00793FBA" w:rsidRDefault="00793FBA" w:rsidP="00793FBA">
      <w:pPr>
        <w:spacing w:before="120" w:after="120" w:line="360" w:lineRule="auto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Wartość projektów realizowanych w 15 województwach wyniosła 61,4 mln zł, a całkowita kwota dotacji to 55 mln zł, z czego bezpośrednio na dotacje dla gmin przeznaczonych zostało ponad 46,8 mln zł. Łącznie w wykazach wojewódzkich znajduje się blisko 1 400 programów rewitalizacji </w:t>
      </w:r>
      <w:r w:rsidRPr="00793FBA">
        <w:rPr>
          <w:rFonts w:asciiTheme="minorHAnsi" w:hAnsiTheme="minorHAnsi" w:cs="Arial"/>
        </w:rPr>
        <w:lastRenderedPageBreak/>
        <w:t>przygotowanych przez gminy (tj. 55% gmin w Polsce), z czego 1 029 z wykorzystaniem dotacji (tj. 74% programów ujętych w wykazach).</w:t>
      </w:r>
    </w:p>
    <w:p w:rsidR="00793FBA" w:rsidRPr="00793FBA" w:rsidRDefault="00793FBA" w:rsidP="00793FBA">
      <w:pPr>
        <w:spacing w:before="120" w:after="120" w:line="360" w:lineRule="auto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  <w:bCs/>
        </w:rPr>
        <w:t xml:space="preserve">W ramach </w:t>
      </w:r>
      <w:r w:rsidRPr="00793FBA">
        <w:rPr>
          <w:rFonts w:asciiTheme="minorHAnsi" w:hAnsiTheme="minorHAnsi" w:cs="Arial"/>
        </w:rPr>
        <w:t>średniookresowego badania ewaluacyjnego dotyczącego skuteczności wsparcia udzielanego w ramach Programu Operacyjnego Pomoc Techniczna 2014-2020w połowie okresu jego wdrażania, oceniona została skuteczność działań wspierających JST w zakresie tworzenia i wdrażania programów rewitalizacji. Obserwacje te znalazły także potwierdzenie w ministerialnym raporcie „Rewitalizacja w Polsce. Pierwsze obserwacje i wnioski. Raport 2018”. Do najważniejszych wniosków należą:</w:t>
      </w:r>
    </w:p>
    <w:p w:rsidR="00793FBA" w:rsidRPr="00793FBA" w:rsidRDefault="00793FBA" w:rsidP="00793FBA">
      <w:pPr>
        <w:pStyle w:val="Akapitzlist"/>
        <w:numPr>
          <w:ilvl w:val="0"/>
          <w:numId w:val="8"/>
        </w:numPr>
        <w:spacing w:before="120" w:after="120" w:line="360" w:lineRule="auto"/>
        <w:ind w:left="425" w:hanging="357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>Podjęte działania wspierające przyczyniły się do zwiększenia wiedzy na temat rewitalizacji i jej prawnych uwarunkowań. Mimo to, tylko ok. 20% gmin przygotowała gminne programy rewitalizacji w oparciu o ustawę o rewitalizacji, wykorzystując okres przejściowy umożliwiający ścieżkę „pozaustawową”. Po roku 2023 r. działania rewitalizacyjne będą mogły być realizowane tylko w oparciu o gminne programy rewitalizacji przygotowane w reżimie ustawy. W związku z tym, działania świadomościowe powinny być kontynuowane.</w:t>
      </w:r>
    </w:p>
    <w:p w:rsidR="00793FBA" w:rsidRPr="00793FBA" w:rsidRDefault="00793FBA" w:rsidP="00793FBA">
      <w:pPr>
        <w:pStyle w:val="Akapitzlist"/>
        <w:numPr>
          <w:ilvl w:val="0"/>
          <w:numId w:val="8"/>
        </w:numPr>
        <w:spacing w:before="120" w:after="120" w:line="360" w:lineRule="auto"/>
        <w:ind w:left="425" w:hanging="357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Wsparcie dotacyjne nie stało się okazją do zbudowania trwałego potencjału własnego gminy do realizacji zadań związanych z programowaniem rewitalizacji. Główną formą realizacji zadań związanych z opracowaniem programów rewitalizacji było zlecanie działań podmiotowi zewnętrznemu. Należy dążyć do tego, by pracownicy urzędów gmin w większym stopniu angażowali się we wspierane działania. Ponieważ przygotowanie programu rewitalizacji jest tylko początkiem długoletniego procesu, wsparcie gmin powinno koncentrować się na doradztwie na rzecz gmin, a nie </w:t>
      </w:r>
      <w:proofErr w:type="gramStart"/>
      <w:r w:rsidRPr="00793FBA">
        <w:rPr>
          <w:rFonts w:asciiTheme="minorHAnsi" w:hAnsiTheme="minorHAnsi" w:cs="Arial"/>
        </w:rPr>
        <w:t>na  finansowaniu</w:t>
      </w:r>
      <w:proofErr w:type="gramEnd"/>
      <w:r w:rsidRPr="00793FBA">
        <w:rPr>
          <w:rFonts w:asciiTheme="minorHAnsi" w:hAnsiTheme="minorHAnsi" w:cs="Arial"/>
        </w:rPr>
        <w:t xml:space="preserve"> wykonania przez podmiot zewnętrzny usług na rzecz gmin. Dzięki takiemu podejściu budowany będzie potencjał wiedzy i doświadczenia lokalnych zasobów, które odpowiedzialne są za planowanie i realizację procesów rewitalizacyjnych.</w:t>
      </w:r>
    </w:p>
    <w:p w:rsidR="00793FBA" w:rsidRPr="00793FBA" w:rsidRDefault="00793FBA" w:rsidP="00793FBA">
      <w:pPr>
        <w:pStyle w:val="Akapitzlist"/>
        <w:numPr>
          <w:ilvl w:val="0"/>
          <w:numId w:val="8"/>
        </w:numPr>
        <w:spacing w:before="120" w:after="120" w:line="360" w:lineRule="auto"/>
        <w:ind w:left="425" w:hanging="357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>Eksperckie i szkoleniowe wsparcie świadczone gminom przez Ministerstwo i urzędy marszałkowskie zostało wysoko ocenione. Poza oczekiwaniem finansowania wdrażania programów rewitalizacji, gminy mają oczekiwania dotyczące kontynuacji wsparcia szkoleniowego i doradczego.</w:t>
      </w:r>
    </w:p>
    <w:p w:rsidR="00793FBA" w:rsidRPr="00793FBA" w:rsidRDefault="00793FBA" w:rsidP="00793FBA">
      <w:pPr>
        <w:pStyle w:val="Akapitzlist"/>
        <w:numPr>
          <w:ilvl w:val="0"/>
          <w:numId w:val="8"/>
        </w:numPr>
        <w:spacing w:before="120" w:after="120" w:line="360" w:lineRule="auto"/>
        <w:ind w:left="425" w:hanging="357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lastRenderedPageBreak/>
        <w:t>Dzięki wsparciu uruchomione zostały procesy partycypacji społecznej związane z przygotowaniem programów rewitalizacji przyczyniające się do lepszego poznania sytuacji w obszarze problemowym, poznanie się urzędników i mieszkańców, a co za tym idzie ich potrzeb, a także zwiększenie integracji społeczności lokalnej. Dla wielu gmin prace przy opracowaniu programu rewitalizacji posłużyły do zapoznania się z narzędziami angażowania społeczności lokalnej. Nadal jednak aktywne angażowanie mieszkańców w działania gminy jest wyzwaniem, z którym gminy nie radzą sobie lub sprawia im to spore trudności. Wykorzystanie narzędzi partycypacji społecznej wymaga przygotowania urzędników do prowadzenia tego typu działań.</w:t>
      </w:r>
    </w:p>
    <w:p w:rsidR="00793FBA" w:rsidRPr="00793FBA" w:rsidRDefault="00793FBA" w:rsidP="00793FBA">
      <w:pPr>
        <w:pStyle w:val="Akapitzlist"/>
        <w:numPr>
          <w:ilvl w:val="0"/>
          <w:numId w:val="8"/>
        </w:numPr>
        <w:spacing w:before="120" w:after="120" w:line="360" w:lineRule="auto"/>
        <w:ind w:left="425" w:hanging="357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Dla gmin przydatne będą doświadczenia z miast realizujących projekty w ramach konkursu Modelowa Rewitalizacja Miast i projektów pilotażowych. W celu lepszego zrozumienia idei rewitalizacji, należy upowszechniać dobre praktyki oraz rozwiązania uznane za modelowe, gdyż mogą one być istotnym źródłem wiedzy i inspiracji dotyczącej planowania i przebiegu procesów rewitalizacyjnych dla innych gmin o podobnej charakterystyce. </w:t>
      </w:r>
    </w:p>
    <w:p w:rsidR="00793FBA" w:rsidRPr="00793FBA" w:rsidRDefault="00793FBA" w:rsidP="00793FBA">
      <w:pPr>
        <w:spacing w:before="120" w:after="120" w:line="360" w:lineRule="auto"/>
        <w:jc w:val="both"/>
        <w:rPr>
          <w:rFonts w:asciiTheme="minorHAnsi" w:hAnsiTheme="minorHAnsi" w:cs="Arial"/>
          <w:b/>
          <w:bCs/>
        </w:rPr>
      </w:pPr>
      <w:r w:rsidRPr="00793FBA">
        <w:rPr>
          <w:rFonts w:asciiTheme="minorHAnsi" w:hAnsiTheme="minorHAnsi" w:cs="Arial"/>
        </w:rPr>
        <w:t xml:space="preserve">Wychodząc naprzeciw oczekiwaniom i potrzebom gmin oraz urzędów marszałkowskich oraz biorąc pod uwagę skalę podejmowanych działań rewitalizacyjnych w Polsce, proponuje się kontynuację wsparcia dla gmin poprzez współpracę z urzędami marszałkowskimi w ramach zadania opisanego poniżej. </w:t>
      </w:r>
    </w:p>
    <w:p w:rsidR="00793FBA" w:rsidRPr="00793FBA" w:rsidRDefault="00793FBA" w:rsidP="00793FBA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Theme="minorHAnsi" w:hAnsiTheme="minorHAnsi" w:cs="Arial"/>
          <w:b/>
          <w:bCs/>
        </w:rPr>
      </w:pPr>
      <w:r w:rsidRPr="00793FBA">
        <w:rPr>
          <w:rFonts w:asciiTheme="minorHAnsi" w:hAnsiTheme="minorHAnsi" w:cs="Arial"/>
          <w:b/>
          <w:bCs/>
        </w:rPr>
        <w:t>Przedmiot Zadania</w:t>
      </w:r>
    </w:p>
    <w:p w:rsidR="00793FBA" w:rsidRPr="00793FBA" w:rsidRDefault="00793FBA" w:rsidP="00793FBA">
      <w:pPr>
        <w:tabs>
          <w:tab w:val="num" w:pos="1440"/>
        </w:tabs>
        <w:spacing w:after="120" w:line="360" w:lineRule="auto"/>
        <w:jc w:val="both"/>
        <w:rPr>
          <w:rFonts w:asciiTheme="minorHAnsi" w:hAnsiTheme="minorHAnsi" w:cs="Arial"/>
          <w:bCs/>
        </w:rPr>
      </w:pPr>
      <w:r w:rsidRPr="00793FBA">
        <w:rPr>
          <w:rFonts w:asciiTheme="minorHAnsi" w:hAnsiTheme="minorHAnsi" w:cs="Arial"/>
          <w:bCs/>
        </w:rPr>
        <w:t xml:space="preserve">Celem zadania jest </w:t>
      </w:r>
      <w:r w:rsidRPr="00793FBA">
        <w:rPr>
          <w:rFonts w:asciiTheme="minorHAnsi" w:hAnsiTheme="minorHAnsi" w:cs="Arial"/>
        </w:rPr>
        <w:t xml:space="preserve">wzmocnienie zdolności JST do programowania i wdrażania działań rewitalizacyjnych, zwłaszcza w zakresie dostępności w rewitalizacji, zarządzania, włączenia społecznego, wykorzystania narzędzi ustawowych oraz wypracowanie i wdrożenie systemu monitorowania rewitalizacji w gminach i na poziomie regionów. </w:t>
      </w:r>
      <w:r w:rsidRPr="00793FBA">
        <w:rPr>
          <w:rFonts w:asciiTheme="minorHAnsi" w:hAnsiTheme="minorHAnsi" w:cs="Arial"/>
          <w:bCs/>
        </w:rPr>
        <w:t xml:space="preserve">Dodatkowym celem jest wsparcie funkcjonowania Zespołów ds. rewitalizacji działających w urzędach marszałkowskich, które zapewniać będą doradztwo i wsparcie dla gmin w zakresie prowadzenia działań rewitalizacyjnych. Intencją jest, aby Zespoły ds. rewitalizacji miały charakter merytoryczny i długoterminowy, </w:t>
      </w:r>
      <w:proofErr w:type="gramStart"/>
      <w:r w:rsidRPr="00793FBA">
        <w:rPr>
          <w:rFonts w:asciiTheme="minorHAnsi" w:hAnsiTheme="minorHAnsi" w:cs="Arial"/>
          <w:bCs/>
        </w:rPr>
        <w:t xml:space="preserve">tak </w:t>
      </w:r>
      <w:r w:rsidRPr="00793FBA">
        <w:rPr>
          <w:rFonts w:asciiTheme="minorHAnsi" w:hAnsiTheme="minorHAnsi" w:cs="Arial"/>
        </w:rPr>
        <w:t>aby</w:t>
      </w:r>
      <w:proofErr w:type="gramEnd"/>
      <w:r w:rsidRPr="00793FBA">
        <w:rPr>
          <w:rFonts w:asciiTheme="minorHAnsi" w:hAnsiTheme="minorHAnsi" w:cs="Arial"/>
        </w:rPr>
        <w:t xml:space="preserve"> powstały kapitał można w dalszych latach wykorzystać w procesie programowania i wdrażania rewitalizacji.</w:t>
      </w:r>
    </w:p>
    <w:p w:rsidR="00793FBA" w:rsidRPr="00793FBA" w:rsidRDefault="00793FBA" w:rsidP="00793FBA">
      <w:pPr>
        <w:tabs>
          <w:tab w:val="num" w:pos="1440"/>
        </w:tabs>
        <w:spacing w:after="120" w:line="360" w:lineRule="auto"/>
        <w:jc w:val="both"/>
        <w:rPr>
          <w:rFonts w:asciiTheme="minorHAnsi" w:hAnsiTheme="minorHAnsi" w:cs="Arial"/>
          <w:bCs/>
        </w:rPr>
      </w:pPr>
      <w:r w:rsidRPr="00793FBA">
        <w:rPr>
          <w:rFonts w:asciiTheme="minorHAnsi" w:hAnsiTheme="minorHAnsi" w:cs="Arial"/>
        </w:rPr>
        <w:lastRenderedPageBreak/>
        <w:t xml:space="preserve">Na podstawie Umowy Województwo otrzymuje wsparcie doradcze w ramach 4 modułów szkoleniowych oraz dotację celową na współpracę z gminami w zakresie tematycznym zgodnym z modułami szkoleń. Poprzez uczestnictwo członków Zespołów ds. rewitalizacji w warsztatach i szkoleniach zapewnione zostanie jednolite podejście do zagadnień związanych z procesami rewitalizacji oraz możliwa będzie wymiana wiedzy i doświadczeń uwzględniająca uwarunkowania regionalne. </w:t>
      </w:r>
      <w:r w:rsidRPr="00793FBA">
        <w:rPr>
          <w:rFonts w:asciiTheme="minorHAnsi" w:hAnsiTheme="minorHAnsi" w:cs="Arial"/>
          <w:bCs/>
        </w:rPr>
        <w:t xml:space="preserve">Wnioski ze spotkań Zespołów ds. rewitalizacji zostaną wykorzystane do doskonalenia systemu rewitalizacji. </w:t>
      </w:r>
    </w:p>
    <w:p w:rsidR="00793FBA" w:rsidRPr="00793FBA" w:rsidRDefault="00793FBA" w:rsidP="00793FBA">
      <w:pPr>
        <w:spacing w:after="120" w:line="360" w:lineRule="auto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Zaplanowane moduły szkoleń obejmują następujące tematy: </w:t>
      </w:r>
    </w:p>
    <w:p w:rsidR="00793FBA" w:rsidRPr="00793FBA" w:rsidRDefault="00793FBA" w:rsidP="00793FBA">
      <w:pPr>
        <w:numPr>
          <w:ilvl w:val="0"/>
          <w:numId w:val="9"/>
        </w:numPr>
        <w:spacing w:after="120" w:line="360" w:lineRule="auto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>dostępność w rewitalizacji – celem jest wzmocnienie zdolności samorządów do uwzględniania problematyki dostępności zarówno w programowaniu strategicznym (w tym w strategach rozwoju, programach rewitalizacji), planowaniu przestrzennym, jak i w przygotowywaniu i realizacji konkretnych projektów (w tym rewitalizacyjnych</w:t>
      </w:r>
      <w:proofErr w:type="gramStart"/>
      <w:r w:rsidRPr="00793FBA">
        <w:rPr>
          <w:rFonts w:asciiTheme="minorHAnsi" w:hAnsiTheme="minorHAnsi" w:cs="Arial"/>
        </w:rPr>
        <w:t>),zgodnie</w:t>
      </w:r>
      <w:proofErr w:type="gramEnd"/>
      <w:r w:rsidRPr="00793FBA">
        <w:rPr>
          <w:rFonts w:asciiTheme="minorHAnsi" w:hAnsiTheme="minorHAnsi" w:cs="Arial"/>
        </w:rPr>
        <w:t xml:space="preserve"> ze standardami określonymi w Programie Dostępność Plus 2018-2025.</w:t>
      </w:r>
    </w:p>
    <w:p w:rsidR="00793FBA" w:rsidRPr="00793FBA" w:rsidRDefault="00793FBA" w:rsidP="00793FBA">
      <w:pPr>
        <w:numPr>
          <w:ilvl w:val="0"/>
          <w:numId w:val="9"/>
        </w:numPr>
        <w:spacing w:after="120" w:line="360" w:lineRule="auto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zarządzanie</w:t>
      </w:r>
      <w:proofErr w:type="gramEnd"/>
      <w:r w:rsidRPr="00793FBA">
        <w:rPr>
          <w:rFonts w:asciiTheme="minorHAnsi" w:hAnsiTheme="minorHAnsi" w:cs="Arial"/>
        </w:rPr>
        <w:t xml:space="preserve"> rewitalizacją i włączenie społeczności lokalnej we wdrażanie programów rewitalizacji – celem jest wzmocnienie kompetencji samorządów w zakresie uspołeczniania procesu rewitalizacji poprzez m.in. tworzenie systemowych mechanizmów wzmacniania wspólnot lokalnych i partycypacji społecznej w kształtowaniu przestrzeni publicznej, zainteresowanie gmin potencjałem działań rewitalizacyjnych w małej skali, szczególnie w aspekcie integracji i aktywizacji społeczności lokalnej, wzmocnienie zdolności gmin do dywersyfikacji źródeł finansowania działań rewitalizacyjnych, tj. większe zaangażowanie inwestorów prywatnych, wspólnot/ spółdzielni mieszkaniowych i TBS-ów oraz NGO-sów w realizację programów rewitalizacji, korzystania z instrumentów zwrotnych.</w:t>
      </w:r>
    </w:p>
    <w:p w:rsidR="00793FBA" w:rsidRPr="00793FBA" w:rsidRDefault="00793FBA" w:rsidP="00793FBA">
      <w:pPr>
        <w:numPr>
          <w:ilvl w:val="0"/>
          <w:numId w:val="9"/>
        </w:numPr>
        <w:spacing w:after="120" w:line="360" w:lineRule="auto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wykorzystanie</w:t>
      </w:r>
      <w:proofErr w:type="gramEnd"/>
      <w:r w:rsidRPr="00793FBA">
        <w:rPr>
          <w:rFonts w:asciiTheme="minorHAnsi" w:hAnsiTheme="minorHAnsi" w:cs="Arial"/>
        </w:rPr>
        <w:t xml:space="preserve"> narzędzi wynikających z ustawy o rewitalizacji – celem jest podniesienie świadomości samorządów i wzmocnienie zdolności gmin do stosowania ustawowych narzędzi rewitalizacyjnych (gminny program rewitalizacji, Komitet Rewitalizacji, Specjalna Strefa Rewitalizacji, miejscowy plan rewitalizacji), </w:t>
      </w:r>
    </w:p>
    <w:p w:rsidR="00793FBA" w:rsidRPr="00793FBA" w:rsidRDefault="00793FBA" w:rsidP="00793FBA">
      <w:pPr>
        <w:numPr>
          <w:ilvl w:val="0"/>
          <w:numId w:val="9"/>
        </w:numPr>
        <w:spacing w:after="120" w:line="360" w:lineRule="auto"/>
        <w:jc w:val="both"/>
        <w:rPr>
          <w:rFonts w:asciiTheme="minorHAnsi" w:hAnsiTheme="minorHAnsi" w:cs="Arial"/>
          <w:bCs/>
        </w:rPr>
      </w:pPr>
      <w:proofErr w:type="gramStart"/>
      <w:r w:rsidRPr="00793FBA">
        <w:rPr>
          <w:rFonts w:asciiTheme="minorHAnsi" w:hAnsiTheme="minorHAnsi" w:cs="Arial"/>
        </w:rPr>
        <w:lastRenderedPageBreak/>
        <w:t>monitoring</w:t>
      </w:r>
      <w:proofErr w:type="gramEnd"/>
      <w:r w:rsidRPr="00793FBA">
        <w:rPr>
          <w:rFonts w:asciiTheme="minorHAnsi" w:hAnsiTheme="minorHAnsi" w:cs="Arial"/>
        </w:rPr>
        <w:t xml:space="preserve"> i ewaluacja działań rewitalizacyjnych – celem jest wzmocnienie zdolności gmin do tworzenia efektywnych systemów monitorowania rozwoju lokalnego (na poziomie gminnym i uwzględniającym zróżnicowanie wewnętrzne gminy), w tym monitorowania i ewaluacji programów rewitalizacji. Celem dodatkowym jest usystematyzowanie podejścia do monitorowania działań rewitalizacyjnych w ujęciu regionalnym. </w:t>
      </w:r>
    </w:p>
    <w:p w:rsidR="00793FBA" w:rsidRPr="00793FBA" w:rsidRDefault="00793FBA" w:rsidP="00793FBA">
      <w:pPr>
        <w:spacing w:after="120" w:line="360" w:lineRule="auto"/>
        <w:jc w:val="both"/>
        <w:rPr>
          <w:rFonts w:asciiTheme="minorHAnsi" w:hAnsiTheme="minorHAnsi" w:cs="Arial"/>
          <w:bCs/>
        </w:rPr>
      </w:pPr>
      <w:r w:rsidRPr="00793FBA">
        <w:rPr>
          <w:rFonts w:asciiTheme="minorHAnsi" w:hAnsiTheme="minorHAnsi" w:cs="Arial"/>
          <w:bCs/>
        </w:rPr>
        <w:t xml:space="preserve">Zadanie planowane do realizacji w latach 2019-2022. </w:t>
      </w:r>
    </w:p>
    <w:p w:rsidR="00793FBA" w:rsidRPr="00793FBA" w:rsidRDefault="00793FBA" w:rsidP="00793FBA">
      <w:pPr>
        <w:spacing w:after="120" w:line="360" w:lineRule="auto"/>
        <w:jc w:val="both"/>
        <w:rPr>
          <w:rFonts w:asciiTheme="minorHAnsi" w:hAnsiTheme="minorHAnsi" w:cs="Arial"/>
          <w:bCs/>
        </w:rPr>
      </w:pPr>
      <w:r w:rsidRPr="00793FBA">
        <w:rPr>
          <w:rFonts w:asciiTheme="minorHAnsi" w:hAnsiTheme="minorHAnsi" w:cs="Arial"/>
          <w:bCs/>
        </w:rPr>
        <w:t xml:space="preserve">Produktami Zadania będą: spotkania edukacyjne, wsparcie doradcze dla gmin, </w:t>
      </w:r>
      <w:r w:rsidRPr="00793FBA">
        <w:rPr>
          <w:rFonts w:asciiTheme="minorHAnsi" w:hAnsiTheme="minorHAnsi" w:cs="Arial"/>
        </w:rPr>
        <w:t xml:space="preserve">regionalny serwis internetowy poświęcony rewitalizacji. Dodatkowymi produktami Zadania, w ramach nieobligatoryjnych działań regionów, mogą być: </w:t>
      </w:r>
      <w:r w:rsidRPr="00793FBA">
        <w:rPr>
          <w:rFonts w:asciiTheme="minorHAnsi" w:hAnsiTheme="minorHAnsi" w:cs="Arial"/>
          <w:bCs/>
        </w:rPr>
        <w:t xml:space="preserve">rozbudowa </w:t>
      </w:r>
      <w:r w:rsidRPr="00793FBA">
        <w:rPr>
          <w:rFonts w:asciiTheme="minorHAnsi" w:hAnsiTheme="minorHAnsi" w:cs="Arial"/>
        </w:rPr>
        <w:t>Systemów Informacji Przestrzennej województw o komponent dotyczący rewitalizacji oraz regionalna polityka rewitalizacji.</w:t>
      </w:r>
    </w:p>
    <w:p w:rsidR="00793FBA" w:rsidRPr="00793FBA" w:rsidRDefault="00793FBA" w:rsidP="00793FBA">
      <w:pPr>
        <w:spacing w:after="120" w:line="360" w:lineRule="auto"/>
        <w:jc w:val="both"/>
        <w:rPr>
          <w:rFonts w:asciiTheme="minorHAnsi" w:hAnsiTheme="minorHAnsi" w:cs="Arial"/>
          <w:bCs/>
        </w:rPr>
      </w:pPr>
      <w:r w:rsidRPr="00793FBA">
        <w:rPr>
          <w:rFonts w:asciiTheme="minorHAnsi" w:hAnsiTheme="minorHAnsi" w:cs="Arial"/>
          <w:bCs/>
        </w:rPr>
        <w:t>Zakładanymi rezultatami Zadania są funkcjonowanie w urzędzie marszałkowskim kompetentnego Zespołu ds. rewitalizacji,</w:t>
      </w:r>
      <w:r w:rsidRPr="00793FBA">
        <w:rPr>
          <w:rFonts w:asciiTheme="minorHAnsi" w:hAnsiTheme="minorHAnsi" w:cs="Arial"/>
        </w:rPr>
        <w:t xml:space="preserve"> poszerzenie </w:t>
      </w:r>
      <w:proofErr w:type="gramStart"/>
      <w:r w:rsidRPr="00793FBA">
        <w:rPr>
          <w:rFonts w:asciiTheme="minorHAnsi" w:hAnsiTheme="minorHAnsi" w:cs="Arial"/>
        </w:rPr>
        <w:t>wiedzy  pracowników</w:t>
      </w:r>
      <w:proofErr w:type="gramEnd"/>
      <w:r w:rsidRPr="00793FBA">
        <w:rPr>
          <w:rFonts w:asciiTheme="minorHAnsi" w:hAnsiTheme="minorHAnsi" w:cs="Arial"/>
        </w:rPr>
        <w:t xml:space="preserve"> urzędów gmin, </w:t>
      </w:r>
      <w:r w:rsidRPr="00793FBA">
        <w:rPr>
          <w:rFonts w:asciiTheme="minorHAnsi" w:hAnsiTheme="minorHAnsi" w:cs="Arial"/>
          <w:bCs/>
        </w:rPr>
        <w:t>włączenie w działania rewitalizacyjne społeczności lokalnej, kreowanie liderów lokalnych, wzrost liczby przygotowanych gminnych programów rewitalizacji i narzędzi ustawowych, prowadzenie polityk w gminie w oparciu o sprawdzone i aktualne dane dotyczące rozwoju gminy.</w:t>
      </w:r>
    </w:p>
    <w:p w:rsidR="00793FBA" w:rsidRPr="00793FBA" w:rsidRDefault="00793FBA" w:rsidP="00793FBA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Theme="minorHAnsi" w:hAnsiTheme="minorHAnsi" w:cs="Arial"/>
          <w:b/>
          <w:bCs/>
        </w:rPr>
      </w:pPr>
      <w:r w:rsidRPr="00793FBA">
        <w:rPr>
          <w:rFonts w:asciiTheme="minorHAnsi" w:hAnsiTheme="minorHAnsi" w:cs="Arial"/>
          <w:b/>
          <w:bCs/>
        </w:rPr>
        <w:t>Szczegółowy opis Zadania</w:t>
      </w:r>
    </w:p>
    <w:p w:rsidR="00793FBA" w:rsidRPr="00793FBA" w:rsidRDefault="00793FBA" w:rsidP="00793FBA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Theme="minorHAnsi" w:hAnsiTheme="minorHAnsi" w:cs="Arial"/>
          <w:u w:val="single"/>
        </w:rPr>
      </w:pPr>
      <w:r w:rsidRPr="00793FBA">
        <w:rPr>
          <w:rFonts w:asciiTheme="minorHAnsi" w:hAnsiTheme="minorHAnsi" w:cs="Arial"/>
          <w:u w:val="single"/>
        </w:rPr>
        <w:t>Funkcjonowanie w Urzędzie Marszałkowskim Zespołu ds. rewitalizacji (dalej Zespół):</w:t>
      </w:r>
    </w:p>
    <w:p w:rsidR="00793FBA" w:rsidRPr="00793FBA" w:rsidRDefault="00793FBA" w:rsidP="00793FBA">
      <w:pPr>
        <w:pStyle w:val="Akapitzlist"/>
        <w:numPr>
          <w:ilvl w:val="0"/>
          <w:numId w:val="3"/>
        </w:numPr>
        <w:tabs>
          <w:tab w:val="left" w:pos="993"/>
        </w:tabs>
        <w:spacing w:after="120" w:line="360" w:lineRule="auto"/>
        <w:ind w:left="993" w:hanging="284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>Skład Zespołu – Zespół do spraw rewitalizacji składa się z pracowników Urzędu Marszałkowskiego oddelegowanych do pracy w Zespole, obowiązkowe jest wskazanie Koordynatora merytorycznego Zespołu (</w:t>
      </w:r>
      <w:r w:rsidRPr="00793FBA">
        <w:rPr>
          <w:rFonts w:asciiTheme="minorHAnsi" w:hAnsiTheme="minorHAnsi" w:cs="Arial"/>
          <w:iCs/>
        </w:rPr>
        <w:t>maksymalna liczba członków Zespołu finansowana w ramach Zadnia została określona w szczegółowym budżecie Zadania</w:t>
      </w:r>
      <w:r w:rsidRPr="00793FBA">
        <w:rPr>
          <w:rFonts w:asciiTheme="minorHAnsi" w:hAnsiTheme="minorHAnsi" w:cs="Arial"/>
        </w:rPr>
        <w:t xml:space="preserve">). W prace </w:t>
      </w:r>
      <w:proofErr w:type="gramStart"/>
      <w:r w:rsidRPr="00793FBA">
        <w:rPr>
          <w:rFonts w:asciiTheme="minorHAnsi" w:hAnsiTheme="minorHAnsi" w:cs="Arial"/>
        </w:rPr>
        <w:t>Zespołu co</w:t>
      </w:r>
      <w:proofErr w:type="gramEnd"/>
      <w:r w:rsidRPr="00793FBA">
        <w:rPr>
          <w:rFonts w:asciiTheme="minorHAnsi" w:hAnsiTheme="minorHAnsi" w:cs="Arial"/>
        </w:rPr>
        <w:t xml:space="preserve"> do zasady powinni być włączeni pracownicy zaangażowani w I etap wsparcia gmin, tj. konkursy dotacji na przygotowanie i aktualizacje programów rewitalizacji realizowane w latach 2015-2018. </w:t>
      </w:r>
    </w:p>
    <w:p w:rsidR="00793FBA" w:rsidRPr="00793FBA" w:rsidRDefault="00793FBA" w:rsidP="00793FBA">
      <w:pPr>
        <w:tabs>
          <w:tab w:val="left" w:pos="993"/>
        </w:tabs>
        <w:spacing w:after="120" w:line="360" w:lineRule="auto"/>
        <w:ind w:left="993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Zespół ma mieć charakter merytoryczny, a nie tylko projektowy. Intencją Ministerstwa jest utrzymanie funkcjonowania Zespołu ds. rewitalizacji zarówno w okresie finansowania </w:t>
      </w:r>
      <w:r w:rsidRPr="00793FBA">
        <w:rPr>
          <w:rFonts w:asciiTheme="minorHAnsi" w:hAnsiTheme="minorHAnsi" w:cs="Arial"/>
        </w:rPr>
        <w:lastRenderedPageBreak/>
        <w:t xml:space="preserve">Zadania jak i po jego zakończeniu, </w:t>
      </w:r>
      <w:proofErr w:type="gramStart"/>
      <w:r w:rsidRPr="00793FBA">
        <w:rPr>
          <w:rFonts w:asciiTheme="minorHAnsi" w:hAnsiTheme="minorHAnsi" w:cs="Arial"/>
        </w:rPr>
        <w:t>tak aby</w:t>
      </w:r>
      <w:proofErr w:type="gramEnd"/>
      <w:r w:rsidRPr="00793FBA">
        <w:rPr>
          <w:rFonts w:asciiTheme="minorHAnsi" w:hAnsiTheme="minorHAnsi" w:cs="Arial"/>
        </w:rPr>
        <w:t xml:space="preserve"> zachować wsparcie dla gmin zwłaszcza w okresie przejściowym.</w:t>
      </w:r>
    </w:p>
    <w:p w:rsidR="00793FBA" w:rsidRPr="00793FBA" w:rsidRDefault="00793FBA" w:rsidP="00793FBA">
      <w:pPr>
        <w:tabs>
          <w:tab w:val="left" w:pos="993"/>
        </w:tabs>
        <w:spacing w:after="120" w:line="360" w:lineRule="auto"/>
        <w:ind w:left="993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W związku z realizacją Zadania Koordynator merytoryczny Zespołu będzie odpowiedzialny za koordynację i nadzór nad jego realizacją, w tym bieżący kontakt z pracownikami Ministerstwa, koordynowanie rozliczania wydatków ponoszonych na podstawie Umowy (sprawozdania przekazywane do Ministerstwa), udział w ewentualnych kontrolach przeprowadzanych przez osoby wskazane przez Ministra lub inne upoważnione instytucje. </w:t>
      </w:r>
    </w:p>
    <w:p w:rsidR="00793FBA" w:rsidRPr="00793FBA" w:rsidRDefault="00793FBA" w:rsidP="00793FBA">
      <w:pPr>
        <w:pStyle w:val="Akapitzlist"/>
        <w:numPr>
          <w:ilvl w:val="0"/>
          <w:numId w:val="3"/>
        </w:numPr>
        <w:tabs>
          <w:tab w:val="left" w:pos="709"/>
        </w:tabs>
        <w:spacing w:after="120" w:line="360" w:lineRule="auto"/>
        <w:ind w:left="993" w:hanging="284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Przygotowanie Zespołu – w ramach przygotowania Zespołu do wykonywania powierzonych im zadań, członkowie Zespołu obowiązkowo przechodzą szkolenia organizowane przez Ministerstwo obejmujące 4 moduły tematyczne: dostępność w rewitalizacji, zarządzanie i włączenie społeczne, wykorzystanie narzędzi ustawowych, monitorowanie i ewaluacja działań rewitalizacyjnych. </w:t>
      </w:r>
      <w:r w:rsidRPr="00793FBA">
        <w:rPr>
          <w:rFonts w:asciiTheme="minorHAnsi" w:hAnsiTheme="minorHAnsi" w:cs="Arial"/>
          <w:color w:val="000000"/>
        </w:rPr>
        <w:t xml:space="preserve">Planowane szkolenia dla Zespołów mają za zadanie wyrównać poziom wiedzy pomiędzy członkami Zespołów i ujednolicić podejście do kluczowych kwestii. </w:t>
      </w:r>
    </w:p>
    <w:p w:rsidR="00793FBA" w:rsidRPr="00793FBA" w:rsidRDefault="00793FBA" w:rsidP="00793FBA">
      <w:pPr>
        <w:pStyle w:val="Akapitzlist"/>
        <w:tabs>
          <w:tab w:val="left" w:pos="709"/>
        </w:tabs>
        <w:spacing w:after="120" w:line="360" w:lineRule="auto"/>
        <w:ind w:left="993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Szczegółowy harmonogram szkoleń zostanie udostępniony przez Ministerstwo po podpisaniu umowy na realizację Zadania. Dodatkowo w ramach wsparcia prac Zespołu, Ministerstwo organizować będzie spotkania służące nawiązaniu stałej współpracy członków Zespołów ds. rewitalizacji na poziomie regionalnym, w tym wymianie informacji, dobrych praktyk czy </w:t>
      </w:r>
      <w:proofErr w:type="spellStart"/>
      <w:r w:rsidRPr="00793FBA">
        <w:rPr>
          <w:rFonts w:asciiTheme="minorHAnsi" w:hAnsiTheme="minorHAnsi" w:cs="Arial"/>
        </w:rPr>
        <w:t>uspójnienia</w:t>
      </w:r>
      <w:proofErr w:type="spellEnd"/>
      <w:r w:rsidRPr="00793FBA">
        <w:rPr>
          <w:rFonts w:asciiTheme="minorHAnsi" w:hAnsiTheme="minorHAnsi" w:cs="Arial"/>
        </w:rPr>
        <w:t xml:space="preserve"> stanowiska do problematycznych kwestii związanych z realizacją Zadania. Efektem dodanym zadania będzie powstanie platformy współpracy z regionami w zakresie rewitalizacji. </w:t>
      </w:r>
    </w:p>
    <w:p w:rsidR="00793FBA" w:rsidRPr="00793FBA" w:rsidRDefault="00793FBA" w:rsidP="00793FBA">
      <w:pPr>
        <w:pStyle w:val="Akapitzlist"/>
        <w:numPr>
          <w:ilvl w:val="0"/>
          <w:numId w:val="3"/>
        </w:numPr>
        <w:tabs>
          <w:tab w:val="left" w:pos="709"/>
        </w:tabs>
        <w:spacing w:after="120" w:line="360" w:lineRule="auto"/>
        <w:ind w:left="993" w:hanging="284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Zadania Zespołu: </w:t>
      </w:r>
    </w:p>
    <w:p w:rsidR="00793FBA" w:rsidRPr="00793FBA" w:rsidRDefault="00793FBA" w:rsidP="00793FBA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koordynacja działań związanych z rewitalizacją w regionie – </w:t>
      </w:r>
      <w:proofErr w:type="gramStart"/>
      <w:r w:rsidRPr="00793FBA">
        <w:rPr>
          <w:rFonts w:asciiTheme="minorHAnsi" w:hAnsiTheme="minorHAnsi" w:cs="Arial"/>
        </w:rPr>
        <w:t>rozumiana jako</w:t>
      </w:r>
      <w:proofErr w:type="gramEnd"/>
      <w:r w:rsidRPr="00793FBA">
        <w:rPr>
          <w:rFonts w:asciiTheme="minorHAnsi" w:hAnsiTheme="minorHAnsi" w:cs="Arial"/>
        </w:rPr>
        <w:t xml:space="preserve"> koordynacja działań objętych Zadaniem z działaniami planowanymi i wdrażanymi przez urząd marszałkowski w zakresie rewitalizacji;</w:t>
      </w:r>
    </w:p>
    <w:p w:rsidR="00793FBA" w:rsidRPr="00793FBA" w:rsidRDefault="00793FBA" w:rsidP="00793FBA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lastRenderedPageBreak/>
        <w:t>merytoryczne</w:t>
      </w:r>
      <w:proofErr w:type="gramEnd"/>
      <w:r w:rsidRPr="00793FBA">
        <w:rPr>
          <w:rFonts w:asciiTheme="minorHAnsi" w:hAnsiTheme="minorHAnsi" w:cs="Arial"/>
        </w:rPr>
        <w:t xml:space="preserve"> przygotowanie i przeprowadzenie spotkań edukacyjnych dla gmin z terenu województwa obejmujące obligatoryjnie 4 moduły tematyczne: dostępność w rewitalizacji, zarządzanie i włączenie społeczne, wykorzystanie narzędzi ustawowych, monitorowanie i ewaluacja działań rewitalizacyjnych. </w:t>
      </w:r>
    </w:p>
    <w:p w:rsidR="00793FBA" w:rsidRPr="00793FBA" w:rsidRDefault="00793FBA" w:rsidP="00793FBA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wsparcie</w:t>
      </w:r>
      <w:proofErr w:type="gramEnd"/>
      <w:r w:rsidRPr="00793FBA">
        <w:rPr>
          <w:rFonts w:asciiTheme="minorHAnsi" w:hAnsiTheme="minorHAnsi" w:cs="Arial"/>
        </w:rPr>
        <w:t xml:space="preserve"> doradcze gmin z terenu województwa w zakresie przygotowania prawidłowego programu rewitalizacji i jego wdrażania, w tym m.in. w przekształcaniu programów rewitalizacji w gminne programy rewitalizacji, wzmacnianiu potencjału społeczności lokalnych do realizacji działań rewitalizacyjnych,</w:t>
      </w:r>
    </w:p>
    <w:p w:rsidR="00793FBA" w:rsidRPr="00793FBA" w:rsidRDefault="00793FBA" w:rsidP="00793FBA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wypracowanie</w:t>
      </w:r>
      <w:proofErr w:type="gramEnd"/>
      <w:r w:rsidRPr="00793FBA">
        <w:rPr>
          <w:rFonts w:asciiTheme="minorHAnsi" w:hAnsiTheme="minorHAnsi" w:cs="Arial"/>
        </w:rPr>
        <w:t xml:space="preserve"> systemu monitorowania rewitalizacji w regionie (działanie fakultatywne) i w gminach(działanie obligatoryjne) – działanie realizowane we współpracy z Ministerstwem,</w:t>
      </w:r>
    </w:p>
    <w:p w:rsidR="00793FBA" w:rsidRPr="00793FBA" w:rsidRDefault="00793FBA" w:rsidP="00793FBA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promocja</w:t>
      </w:r>
      <w:proofErr w:type="gramEnd"/>
      <w:r w:rsidRPr="00793FBA">
        <w:rPr>
          <w:rFonts w:asciiTheme="minorHAnsi" w:hAnsiTheme="minorHAnsi" w:cs="Arial"/>
        </w:rPr>
        <w:t xml:space="preserve"> modeli działań rewitalizacyjnych wypracowanych przez miasta w ramach konkursu Modelowa Rewitalizacja Miast i projektów pilotażowych w zakresie rewitalizacji oraz Krajowego Centrum Wiedzy o Rewitalizacji (</w:t>
      </w:r>
      <w:hyperlink r:id="rId7" w:history="1">
        <w:r w:rsidRPr="00793FBA">
          <w:rPr>
            <w:rStyle w:val="Hipercze"/>
            <w:rFonts w:asciiTheme="minorHAnsi" w:hAnsiTheme="minorHAnsi" w:cs="Arial"/>
          </w:rPr>
          <w:t>www.rewitalizacja.gov.pl</w:t>
        </w:r>
      </w:hyperlink>
      <w:r w:rsidRPr="00793FBA">
        <w:rPr>
          <w:rFonts w:asciiTheme="minorHAnsi" w:hAnsiTheme="minorHAnsi" w:cs="Arial"/>
        </w:rPr>
        <w:t>) – działanie realizowane we współpracy z Ministerstwem,</w:t>
      </w:r>
    </w:p>
    <w:p w:rsidR="00793FBA" w:rsidRPr="00793FBA" w:rsidRDefault="00793FBA" w:rsidP="00793FBA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prowadzenie</w:t>
      </w:r>
      <w:proofErr w:type="gramEnd"/>
      <w:r w:rsidRPr="00793FBA">
        <w:rPr>
          <w:rFonts w:asciiTheme="minorHAnsi" w:hAnsiTheme="minorHAnsi" w:cs="Arial"/>
        </w:rPr>
        <w:t xml:space="preserve"> regionalnego serwisu internetowego poświęconego rewitalizacji, zawierającego podstawowe informacje, jak i popularyzującego i promującego działania rewitalizacyjne, tj. podstawy prawne, aktualny wykaz programów rewitalizacji, informacja o realizowanym wsparciu dla gmin, system monitorowania rewitalizacji w regionie i gminach, źródła finansowania działań rewitalizacyjnych, publikacje,</w:t>
      </w:r>
    </w:p>
    <w:p w:rsidR="00793FBA" w:rsidRPr="00793FBA" w:rsidRDefault="00793FBA" w:rsidP="00793FBA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wypracowanie</w:t>
      </w:r>
      <w:proofErr w:type="gramEnd"/>
      <w:r w:rsidRPr="00793FBA">
        <w:rPr>
          <w:rFonts w:asciiTheme="minorHAnsi" w:hAnsiTheme="minorHAnsi" w:cs="Arial"/>
        </w:rPr>
        <w:t xml:space="preserve"> regionalnej polityki rewitalizacyjnej województwa</w:t>
      </w:r>
      <w:r w:rsidRPr="00793FBA">
        <w:rPr>
          <w:rFonts w:asciiTheme="minorHAnsi" w:hAnsiTheme="minorHAnsi"/>
        </w:rPr>
        <w:t xml:space="preserve"> – </w:t>
      </w:r>
      <w:r w:rsidRPr="00793FBA">
        <w:rPr>
          <w:rFonts w:asciiTheme="minorHAnsi" w:hAnsiTheme="minorHAnsi" w:cs="Arial"/>
        </w:rPr>
        <w:t>działanie realizowane ze wsparciem ze strony ekspertów zewnętrznych oraz we współpracy z Ministerstwem. Wypracowany dokument wymaga akceptacji ze strony Ministerstwa. Działanie fakultatywne dla regionów, które mają potrzebę stworzenia regionalnej polityki rewitalizacji dostosowanej do lokalnych możliwości i potencjałów.</w:t>
      </w:r>
    </w:p>
    <w:p w:rsidR="00793FBA" w:rsidRPr="00793FBA" w:rsidRDefault="00793FBA" w:rsidP="00793FBA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  <w:u w:val="single"/>
        </w:rPr>
        <w:t xml:space="preserve">Przeprowadzenie spotkań edukacyjnych dla gmin </w:t>
      </w:r>
    </w:p>
    <w:p w:rsidR="00793FBA" w:rsidRPr="00793FBA" w:rsidRDefault="00793FBA" w:rsidP="00793FBA">
      <w:pPr>
        <w:pStyle w:val="Akapitzlist"/>
        <w:spacing w:after="120" w:line="360" w:lineRule="auto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lastRenderedPageBreak/>
        <w:t xml:space="preserve">Przez spotkania edukacyjne rozumie się różne formy podnoszenia kompetencji realizowane w ramach spotkań, szkoleń, seminariów, warsztatów (teoretyczno-praktycznych), krajowych wizyt studyjnych z zakresu czterech obligatoryjnych modułów tematycznych. </w:t>
      </w:r>
    </w:p>
    <w:p w:rsidR="00793FBA" w:rsidRPr="00793FBA" w:rsidRDefault="00793FBA" w:rsidP="00793FBA">
      <w:pPr>
        <w:pStyle w:val="Akapitzlist"/>
        <w:spacing w:after="120" w:line="360" w:lineRule="auto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Adresatem spotkań edukacyjnych są przedstawiciele gmin z danego województwa, tj. </w:t>
      </w:r>
      <w:proofErr w:type="gramStart"/>
      <w:r w:rsidRPr="00793FBA">
        <w:rPr>
          <w:rFonts w:asciiTheme="minorHAnsi" w:hAnsiTheme="minorHAnsi" w:cs="Arial"/>
        </w:rPr>
        <w:t>gmin których</w:t>
      </w:r>
      <w:proofErr w:type="gramEnd"/>
      <w:r w:rsidRPr="00793FBA">
        <w:rPr>
          <w:rFonts w:asciiTheme="minorHAnsi" w:hAnsiTheme="minorHAnsi" w:cs="Arial"/>
        </w:rPr>
        <w:t xml:space="preserve"> programy rewitalizacji ujęte są w wykazie programów rewitalizacji oraz gminy, które zadeklarują realizację działań rewitalizacyjnych w przyszłości. W spotkaniach edukacyjnych, oprócz przedstawicieli urzędów gminnych, możliwy jest udział członków Komitetów Rewitalizacji lub innych podmiotów zaangażowanych w koordynację programu rewitalizacji danej gminy, zgodnie z zapisami programu rewitalizacji. Rekomendowane jest przeszkolenie kilku osób z jednej gminy. W spotkaniach w imieniu gmin nie mogą brać udziału podmioty zewnętrzne. </w:t>
      </w:r>
    </w:p>
    <w:p w:rsidR="00793FBA" w:rsidRPr="00793FBA" w:rsidRDefault="00793FBA" w:rsidP="00793FBA">
      <w:pPr>
        <w:pStyle w:val="Akapitzlist"/>
        <w:spacing w:after="120" w:line="360" w:lineRule="auto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>Program spotkań edukacyjnych oparty jest o materiał szkoleniowy udostępniony podczas szkoleń dla członków Zespołu ds. rewitalizacji organizowanych przez Ministerstwo oraz dostosowany do stopnia zaawansowania gmin z danego województwa w realizacji działań rewitalizacyjnych. Przewiduje się możliwość zaangażowania ekspertów zewnętrznych do wsparcia członków Zespołu w realizacji spotkań edukacyjnych.</w:t>
      </w:r>
    </w:p>
    <w:p w:rsidR="00793FBA" w:rsidRPr="00793FBA" w:rsidRDefault="00793FBA" w:rsidP="00793FBA">
      <w:pPr>
        <w:pStyle w:val="Akapitzlist"/>
        <w:spacing w:after="120" w:line="360" w:lineRule="auto"/>
        <w:jc w:val="both"/>
        <w:rPr>
          <w:rFonts w:asciiTheme="minorHAnsi" w:hAnsiTheme="minorHAnsi" w:cs="Arial"/>
          <w:color w:val="FF0000"/>
        </w:rPr>
      </w:pPr>
      <w:r w:rsidRPr="00793FBA">
        <w:rPr>
          <w:rFonts w:asciiTheme="minorHAnsi" w:hAnsiTheme="minorHAnsi" w:cs="Arial"/>
        </w:rPr>
        <w:t xml:space="preserve">Województwo zobowiązane jest przeprowadzić minimum 3 spotkania edukacyjne w każdym z modułów tematycznych, jednak łącznie minimum 16 </w:t>
      </w:r>
      <w:r w:rsidRPr="00793FBA">
        <w:rPr>
          <w:rFonts w:asciiTheme="minorHAnsi" w:hAnsiTheme="minorHAnsi" w:cs="Arial"/>
          <w:color w:val="FF0000"/>
        </w:rPr>
        <w:t xml:space="preserve">spotkań, w </w:t>
      </w:r>
      <w:proofErr w:type="gramStart"/>
      <w:r w:rsidRPr="00793FBA">
        <w:rPr>
          <w:rFonts w:asciiTheme="minorHAnsi" w:hAnsiTheme="minorHAnsi" w:cs="Arial"/>
          <w:color w:val="FF0000"/>
        </w:rPr>
        <w:t>zróżnicowanych  formach</w:t>
      </w:r>
      <w:proofErr w:type="gramEnd"/>
      <w:r w:rsidRPr="00793FBA">
        <w:rPr>
          <w:rFonts w:asciiTheme="minorHAnsi" w:hAnsiTheme="minorHAnsi" w:cs="Arial"/>
          <w:color w:val="FF0000"/>
        </w:rPr>
        <w:t xml:space="preserve"> szkoleniowych dostosowanych do sytuacji epidemicznej w kraju i potrzeb zgłaszanych przez gminy.</w:t>
      </w:r>
    </w:p>
    <w:p w:rsidR="00793FBA" w:rsidRPr="00793FBA" w:rsidRDefault="00793FBA" w:rsidP="00793FBA">
      <w:pPr>
        <w:spacing w:after="120" w:line="360" w:lineRule="auto"/>
        <w:ind w:left="720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Intencją </w:t>
      </w:r>
      <w:proofErr w:type="gramStart"/>
      <w:r w:rsidRPr="00793FBA">
        <w:rPr>
          <w:rFonts w:asciiTheme="minorHAnsi" w:hAnsiTheme="minorHAnsi" w:cs="Arial"/>
        </w:rPr>
        <w:t>jest aby</w:t>
      </w:r>
      <w:proofErr w:type="gramEnd"/>
      <w:r w:rsidRPr="00793FBA">
        <w:rPr>
          <w:rFonts w:asciiTheme="minorHAnsi" w:hAnsiTheme="minorHAnsi" w:cs="Arial"/>
        </w:rPr>
        <w:t xml:space="preserve"> przeszkolić jak najwięcej gmin w każdym województwie i aby każda gmina biorąca udział w spotkaniach edukacyjnych była przeszkolona ze wszystkich 4 modułów szkoleniowych, minimalny poziom to 2 moduły szkoleniowe.</w:t>
      </w:r>
    </w:p>
    <w:p w:rsidR="00793FBA" w:rsidRPr="00793FBA" w:rsidRDefault="00793FBA" w:rsidP="00793FBA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Theme="minorHAnsi" w:hAnsiTheme="minorHAnsi" w:cs="Arial"/>
          <w:u w:val="single"/>
        </w:rPr>
      </w:pPr>
      <w:r w:rsidRPr="00793FBA">
        <w:rPr>
          <w:rFonts w:asciiTheme="minorHAnsi" w:hAnsiTheme="minorHAnsi" w:cs="Arial"/>
          <w:u w:val="single"/>
        </w:rPr>
        <w:t>Wsparcie doradcze dla gmin z terenu województwa</w:t>
      </w:r>
    </w:p>
    <w:p w:rsidR="00793FBA" w:rsidRPr="00793FBA" w:rsidRDefault="00793FBA" w:rsidP="00793FBA">
      <w:pPr>
        <w:pStyle w:val="Akapitzlist"/>
        <w:spacing w:after="120" w:line="360" w:lineRule="auto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Indywidualne wsparcie dla gmin dotyczące zakresu przygotowania prawidłowego programu rewitalizacji oraz jego wdrażania, realizowane np. w formie dyżurów, konsultacji </w:t>
      </w:r>
      <w:r w:rsidRPr="00793FBA">
        <w:rPr>
          <w:rFonts w:asciiTheme="minorHAnsi" w:hAnsiTheme="minorHAnsi" w:cs="Arial"/>
        </w:rPr>
        <w:lastRenderedPageBreak/>
        <w:t xml:space="preserve">indywidualnych z przedstawicielami gminy, doradztwa prawnego i specjalistycznego dla gmin, warsztatów. Przewiduje się możliwość zaangażowania ekspertów zewnętrznych do wsparcia członków Zespołu w realizacji działań doradczych dla gmin. </w:t>
      </w:r>
    </w:p>
    <w:p w:rsidR="00793FBA" w:rsidRPr="00793FBA" w:rsidRDefault="00793FBA" w:rsidP="00793FBA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Theme="minorHAnsi" w:hAnsiTheme="minorHAnsi" w:cs="Arial"/>
          <w:u w:val="single"/>
        </w:rPr>
      </w:pPr>
      <w:r w:rsidRPr="00793FBA">
        <w:rPr>
          <w:rFonts w:asciiTheme="minorHAnsi" w:hAnsiTheme="minorHAnsi" w:cs="Arial"/>
          <w:u w:val="single"/>
        </w:rPr>
        <w:t>Monitorowanie rewitalizacji</w:t>
      </w:r>
    </w:p>
    <w:p w:rsidR="00793FBA" w:rsidRPr="00793FBA" w:rsidRDefault="00793FBA" w:rsidP="00793FBA">
      <w:pPr>
        <w:spacing w:before="120" w:after="120" w:line="360" w:lineRule="auto"/>
        <w:ind w:left="708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Wypracowanie systemu monitorowania rewitalizacji na dwóch poziomach: regionalnym oraz gminnym. </w:t>
      </w:r>
    </w:p>
    <w:p w:rsidR="00793FBA" w:rsidRPr="00793FBA" w:rsidRDefault="00793FBA" w:rsidP="00793FBA">
      <w:pPr>
        <w:pStyle w:val="Akapitzlist"/>
        <w:numPr>
          <w:ilvl w:val="0"/>
          <w:numId w:val="12"/>
        </w:numPr>
        <w:spacing w:before="120" w:after="120" w:line="360" w:lineRule="auto"/>
        <w:ind w:left="993" w:hanging="284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Poziom regionalny – uzupełnienie Systemu Informacji Przestrzennej danego województwa o informacje związane z rewitalizacją w oparciu o prowadzone wykazy programów rewitalizacji. </w:t>
      </w:r>
      <w:proofErr w:type="spellStart"/>
      <w:r w:rsidRPr="00793FBA">
        <w:rPr>
          <w:rFonts w:asciiTheme="minorHAnsi" w:hAnsiTheme="minorHAnsi" w:cs="Arial"/>
        </w:rPr>
        <w:t>Uspójnienie</w:t>
      </w:r>
      <w:proofErr w:type="spellEnd"/>
      <w:r w:rsidRPr="00793FBA">
        <w:rPr>
          <w:rFonts w:asciiTheme="minorHAnsi" w:hAnsiTheme="minorHAnsi" w:cs="Arial"/>
        </w:rPr>
        <w:t xml:space="preserve"> zakresów prowadzonych wykazów rewitalizacji w połączeniu z ich prezentacją przestrzenną, pozwoli na monitorowanie procesów rewitalizacji w regionach i docelowo w kontekście całego kraju, w celu bieżącej oceny skali działań rewitalizacyjnych. Działanie fakultatywne – ze względu na zróżnicowany poziom zawansowania regionów w zakresie rozbudowy SIP, nie jest możliwa realizacja działania w takim samym zakresie w każdym regionie. </w:t>
      </w:r>
    </w:p>
    <w:p w:rsidR="00793FBA" w:rsidRPr="00793FBA" w:rsidRDefault="00793FBA" w:rsidP="00793FBA">
      <w:pPr>
        <w:pStyle w:val="Akapitzlist"/>
        <w:numPr>
          <w:ilvl w:val="0"/>
          <w:numId w:val="12"/>
        </w:numPr>
        <w:spacing w:before="120" w:after="120" w:line="360" w:lineRule="auto"/>
        <w:ind w:left="993" w:hanging="284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Poziom gminny – jednocześnie Zespół będzie wspierał gminy w prowadzeniu monitoringu, ewaluacji programów rewitalizacji a także rozwoju lokalnego, m.in. w oparciu o materiały wypracowane przez Ministerstwo i udostępnione podczas szkoleń na etapie przygotowania Zespołu. Wsparcie obejmować będzie w szczególności wsparcie szkoleniowe i doradcze, prezentację dobrych praktyk i standardów monitorowania.   </w:t>
      </w:r>
    </w:p>
    <w:p w:rsidR="00793FBA" w:rsidRPr="00793FBA" w:rsidRDefault="00793FBA" w:rsidP="00793FBA">
      <w:pPr>
        <w:pStyle w:val="Akapitzlist"/>
        <w:numPr>
          <w:ilvl w:val="0"/>
          <w:numId w:val="1"/>
        </w:numPr>
        <w:spacing w:before="120" w:after="120" w:line="360" w:lineRule="auto"/>
        <w:rPr>
          <w:rFonts w:asciiTheme="minorHAnsi" w:hAnsiTheme="minorHAnsi" w:cs="Arial"/>
          <w:b/>
          <w:bCs/>
        </w:rPr>
      </w:pPr>
      <w:r w:rsidRPr="00793FBA">
        <w:rPr>
          <w:rFonts w:asciiTheme="minorHAnsi" w:hAnsiTheme="minorHAnsi" w:cs="Arial"/>
          <w:b/>
          <w:bCs/>
        </w:rPr>
        <w:t>Kwalifikowalność wydatków</w:t>
      </w:r>
    </w:p>
    <w:p w:rsidR="00793FBA" w:rsidRPr="00793FBA" w:rsidRDefault="00793FBA" w:rsidP="00793FBA">
      <w:pPr>
        <w:pStyle w:val="Akapitzlist"/>
        <w:numPr>
          <w:ilvl w:val="0"/>
          <w:numId w:val="2"/>
        </w:numPr>
        <w:tabs>
          <w:tab w:val="clear" w:pos="1068"/>
        </w:tabs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>Za koszty kwalifikowalne uznane zostaną wydatki spełniające łącznie następujące warunki:</w:t>
      </w:r>
    </w:p>
    <w:p w:rsidR="00793FBA" w:rsidRPr="00793FBA" w:rsidRDefault="00793FBA" w:rsidP="00793FBA">
      <w:pPr>
        <w:numPr>
          <w:ilvl w:val="0"/>
          <w:numId w:val="4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są</w:t>
      </w:r>
      <w:proofErr w:type="gramEnd"/>
      <w:r w:rsidRPr="00793FBA">
        <w:rPr>
          <w:rFonts w:asciiTheme="minorHAnsi" w:hAnsiTheme="minorHAnsi" w:cs="Arial"/>
        </w:rPr>
        <w:t xml:space="preserve"> niezbędne do realizacji Zadania;</w:t>
      </w:r>
    </w:p>
    <w:p w:rsidR="00793FBA" w:rsidRPr="00793FBA" w:rsidRDefault="00793FBA" w:rsidP="00793FBA">
      <w:pPr>
        <w:numPr>
          <w:ilvl w:val="0"/>
          <w:numId w:val="4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dokonywane</w:t>
      </w:r>
      <w:proofErr w:type="gramEnd"/>
      <w:r w:rsidRPr="00793FBA">
        <w:rPr>
          <w:rFonts w:asciiTheme="minorHAnsi" w:hAnsiTheme="minorHAnsi" w:cs="Arial"/>
        </w:rPr>
        <w:t xml:space="preserve"> są przy zachowaniu zasady efektywności kosztowej, czyli zapewniające realizację zadań na wysokim poziomie merytorycznym przy optymalnym wykorzystaniu zasobów finansowych;</w:t>
      </w:r>
    </w:p>
    <w:p w:rsidR="00793FBA" w:rsidRPr="00793FBA" w:rsidRDefault="00793FBA" w:rsidP="00793FBA">
      <w:pPr>
        <w:numPr>
          <w:ilvl w:val="0"/>
          <w:numId w:val="4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lastRenderedPageBreak/>
        <w:t>poniesione</w:t>
      </w:r>
      <w:proofErr w:type="gramEnd"/>
      <w:r w:rsidRPr="00793FBA">
        <w:rPr>
          <w:rFonts w:asciiTheme="minorHAnsi" w:hAnsiTheme="minorHAnsi" w:cs="Arial"/>
        </w:rPr>
        <w:t xml:space="preserve"> zostaną przez Województwo w terminie realizacji Zadania wskazanym w Umowie dotacji;</w:t>
      </w:r>
    </w:p>
    <w:p w:rsidR="00793FBA" w:rsidRPr="00793FBA" w:rsidRDefault="00793FBA" w:rsidP="00793FBA">
      <w:pPr>
        <w:numPr>
          <w:ilvl w:val="0"/>
          <w:numId w:val="4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wykazane</w:t>
      </w:r>
      <w:proofErr w:type="gramEnd"/>
      <w:r w:rsidRPr="00793FBA">
        <w:rPr>
          <w:rFonts w:asciiTheme="minorHAnsi" w:hAnsiTheme="minorHAnsi" w:cs="Arial"/>
        </w:rPr>
        <w:t xml:space="preserve"> będą w dokumentacji księgowej Województwa, w sposób umożliwiający ich zidentyfikowanie i weryfikację;</w:t>
      </w:r>
    </w:p>
    <w:p w:rsidR="00793FBA" w:rsidRPr="00793FBA" w:rsidRDefault="00793FBA" w:rsidP="00793FBA">
      <w:pPr>
        <w:numPr>
          <w:ilvl w:val="0"/>
          <w:numId w:val="4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zostaną</w:t>
      </w:r>
      <w:proofErr w:type="gramEnd"/>
      <w:r w:rsidRPr="00793FBA">
        <w:rPr>
          <w:rFonts w:asciiTheme="minorHAnsi" w:hAnsiTheme="minorHAnsi" w:cs="Arial"/>
        </w:rPr>
        <w:t xml:space="preserve"> potwierdzone oryginałami stosownych dokumentów.</w:t>
      </w:r>
    </w:p>
    <w:p w:rsidR="00793FBA" w:rsidRPr="00793FBA" w:rsidRDefault="00793FBA" w:rsidP="00793FBA">
      <w:pPr>
        <w:pStyle w:val="Tekstpodstawowy2"/>
        <w:numPr>
          <w:ilvl w:val="0"/>
          <w:numId w:val="2"/>
        </w:numPr>
        <w:tabs>
          <w:tab w:val="clear" w:pos="1068"/>
          <w:tab w:val="num" w:pos="426"/>
        </w:tabs>
        <w:spacing w:after="120"/>
        <w:ind w:left="426" w:hanging="426"/>
        <w:rPr>
          <w:rFonts w:asciiTheme="minorHAnsi" w:hAnsiTheme="minorHAnsi" w:cs="Arial"/>
          <w:sz w:val="22"/>
          <w:szCs w:val="22"/>
        </w:rPr>
      </w:pPr>
      <w:r w:rsidRPr="00793FBA">
        <w:rPr>
          <w:rFonts w:asciiTheme="minorHAnsi" w:hAnsiTheme="minorHAnsi" w:cs="Arial"/>
          <w:sz w:val="22"/>
          <w:szCs w:val="22"/>
        </w:rPr>
        <w:t xml:space="preserve">Za koszty kwalifikowalne zostaną uznane wydatki poniesione zgodnie z </w:t>
      </w:r>
      <w:r w:rsidRPr="00793FBA">
        <w:rPr>
          <w:rFonts w:asciiTheme="minorHAnsi" w:hAnsiTheme="minorHAnsi" w:cs="Arial"/>
          <w:iCs/>
          <w:sz w:val="22"/>
          <w:szCs w:val="22"/>
        </w:rPr>
        <w:t xml:space="preserve">Wytycznymi w zakresie wykorzystania środków pomocy technicznej na lata 2014-2020 </w:t>
      </w:r>
      <w:r w:rsidRPr="00793FBA">
        <w:rPr>
          <w:rFonts w:asciiTheme="minorHAnsi" w:hAnsiTheme="minorHAnsi" w:cs="Arial"/>
          <w:sz w:val="22"/>
          <w:szCs w:val="22"/>
        </w:rPr>
        <w:t xml:space="preserve">oraz </w:t>
      </w:r>
      <w:r w:rsidRPr="00793FBA">
        <w:rPr>
          <w:rFonts w:asciiTheme="minorHAnsi" w:hAnsiTheme="minorHAnsi" w:cs="Arial"/>
          <w:iCs/>
          <w:sz w:val="22"/>
          <w:szCs w:val="22"/>
        </w:rPr>
        <w:t>Wytycznymi w zakresie kwalifikowalności wydatków w ramach Europejskiego Funduszu Rozwoju Regionalnego, Europejskiego Funduszu Społecznego oraz Funduszu Spójności na lata 2014-2020</w:t>
      </w:r>
      <w:r w:rsidRPr="00793FBA">
        <w:rPr>
          <w:rFonts w:asciiTheme="minorHAnsi" w:hAnsiTheme="minorHAnsi" w:cs="Arial"/>
          <w:sz w:val="22"/>
          <w:szCs w:val="22"/>
        </w:rPr>
        <w:t>;</w:t>
      </w:r>
    </w:p>
    <w:p w:rsidR="00793FBA" w:rsidRPr="00793FBA" w:rsidRDefault="00793FBA" w:rsidP="00793FBA">
      <w:pPr>
        <w:pStyle w:val="Tekstpodstawowy2"/>
        <w:numPr>
          <w:ilvl w:val="0"/>
          <w:numId w:val="2"/>
        </w:numPr>
        <w:tabs>
          <w:tab w:val="clear" w:pos="1068"/>
          <w:tab w:val="num" w:pos="426"/>
        </w:tabs>
        <w:spacing w:after="120"/>
        <w:ind w:left="426" w:hanging="426"/>
        <w:rPr>
          <w:rFonts w:asciiTheme="minorHAnsi" w:hAnsiTheme="minorHAnsi" w:cs="Arial"/>
          <w:sz w:val="22"/>
          <w:szCs w:val="22"/>
        </w:rPr>
      </w:pPr>
      <w:r w:rsidRPr="00793FBA">
        <w:rPr>
          <w:rFonts w:asciiTheme="minorHAnsi" w:hAnsiTheme="minorHAnsi" w:cs="Arial"/>
          <w:sz w:val="22"/>
          <w:szCs w:val="22"/>
        </w:rPr>
        <w:t>Kosztami kwalifikowalnymi są przede wszystkim:</w:t>
      </w:r>
    </w:p>
    <w:p w:rsidR="00793FBA" w:rsidRPr="00793FBA" w:rsidRDefault="00793FBA" w:rsidP="00793F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wynagrodzenie</w:t>
      </w:r>
      <w:proofErr w:type="gramEnd"/>
      <w:r w:rsidRPr="00793FBA">
        <w:rPr>
          <w:rFonts w:asciiTheme="minorHAnsi" w:hAnsiTheme="minorHAnsi" w:cs="Arial"/>
        </w:rPr>
        <w:t xml:space="preserve"> koordynatora merytorycznego Zespołu ds. rewitalizacji,</w:t>
      </w:r>
    </w:p>
    <w:p w:rsidR="00793FBA" w:rsidRPr="00793FBA" w:rsidRDefault="00793FBA" w:rsidP="00793F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wynagrodzenia</w:t>
      </w:r>
      <w:proofErr w:type="gramEnd"/>
      <w:r w:rsidRPr="00793FBA">
        <w:rPr>
          <w:rFonts w:asciiTheme="minorHAnsi" w:hAnsiTheme="minorHAnsi" w:cs="Arial"/>
        </w:rPr>
        <w:t xml:space="preserve"> członków Zespołu ds. rewitalizacji,</w:t>
      </w:r>
    </w:p>
    <w:p w:rsidR="00793FBA" w:rsidRPr="00793FBA" w:rsidRDefault="00793FBA" w:rsidP="00793FBA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Arial"/>
          <w:u w:val="single"/>
        </w:rPr>
      </w:pPr>
      <w:r w:rsidRPr="00793FBA">
        <w:rPr>
          <w:rFonts w:asciiTheme="minorHAnsi" w:hAnsiTheme="minorHAnsi" w:cs="Arial"/>
          <w:u w:val="single"/>
        </w:rPr>
        <w:t xml:space="preserve">Łączna wartość wynagrodzeń (kwoty brutto z pochodnymi pracodawcy), o których mowa w pkt a i b, nie mogą przekroczyć kwoty 250 000 zł w całym okresie realizacji projektu. Wynagrodzenie będzie ponoszone w formie dodatków zadaniowych. </w:t>
      </w:r>
    </w:p>
    <w:p w:rsidR="00793FBA" w:rsidRPr="00793FBA" w:rsidRDefault="00793FBA" w:rsidP="00793F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koszty</w:t>
      </w:r>
      <w:proofErr w:type="gramEnd"/>
      <w:r w:rsidRPr="00793FBA">
        <w:rPr>
          <w:rFonts w:asciiTheme="minorHAnsi" w:hAnsiTheme="minorHAnsi" w:cs="Arial"/>
        </w:rPr>
        <w:t xml:space="preserve"> delegacji członków Zespołu ds. rewitalizacji,</w:t>
      </w:r>
    </w:p>
    <w:p w:rsidR="00793FBA" w:rsidRPr="00793FBA" w:rsidRDefault="00793FBA" w:rsidP="00793F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wynagrodzenie</w:t>
      </w:r>
      <w:proofErr w:type="gramEnd"/>
      <w:r w:rsidRPr="00793FBA">
        <w:rPr>
          <w:rFonts w:asciiTheme="minorHAnsi" w:hAnsiTheme="minorHAnsi" w:cs="Arial"/>
        </w:rPr>
        <w:t xml:space="preserve"> biegłego rewidenta przeprowadzającego kontrole projektu, zgodnie z postanowieniami Umowy dotacji,</w:t>
      </w:r>
    </w:p>
    <w:p w:rsidR="00793FBA" w:rsidRPr="00793FBA" w:rsidRDefault="00793FBA" w:rsidP="00793F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wydatki</w:t>
      </w:r>
      <w:proofErr w:type="gramEnd"/>
      <w:r w:rsidRPr="00793FBA">
        <w:rPr>
          <w:rFonts w:asciiTheme="minorHAnsi" w:hAnsiTheme="minorHAnsi" w:cs="Arial"/>
        </w:rPr>
        <w:t xml:space="preserve"> związane z organizacją spotkań edukacyjnych dla gmin, o których mowa w pkt 3 ust. 2,</w:t>
      </w:r>
    </w:p>
    <w:p w:rsidR="00793FBA" w:rsidRPr="00793FBA" w:rsidRDefault="00793FBA" w:rsidP="00793F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wydatki</w:t>
      </w:r>
      <w:proofErr w:type="gramEnd"/>
      <w:r w:rsidRPr="00793FBA">
        <w:rPr>
          <w:rFonts w:asciiTheme="minorHAnsi" w:hAnsiTheme="minorHAnsi" w:cs="Arial"/>
        </w:rPr>
        <w:t xml:space="preserve"> związane z organizacją wsparcia doradczego dla gmin, o których mowa w pkt 3 ust. 3,</w:t>
      </w:r>
    </w:p>
    <w:p w:rsidR="00793FBA" w:rsidRPr="00793FBA" w:rsidRDefault="00793FBA" w:rsidP="00793F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wydatki</w:t>
      </w:r>
      <w:proofErr w:type="gramEnd"/>
      <w:r w:rsidRPr="00793FBA">
        <w:rPr>
          <w:rFonts w:asciiTheme="minorHAnsi" w:hAnsiTheme="minorHAnsi" w:cs="Arial"/>
        </w:rPr>
        <w:t xml:space="preserve"> związane z rozwojem Systemu Informacji Przestrzennej, o których mowa w pkt 3 ust. 4,</w:t>
      </w:r>
    </w:p>
    <w:p w:rsidR="00793FBA" w:rsidRPr="00793FBA" w:rsidRDefault="00793FBA" w:rsidP="00793FBA">
      <w:pPr>
        <w:pStyle w:val="Akapitzlist"/>
        <w:numPr>
          <w:ilvl w:val="0"/>
          <w:numId w:val="2"/>
        </w:numPr>
        <w:tabs>
          <w:tab w:val="clear" w:pos="1068"/>
          <w:tab w:val="num" w:pos="426"/>
        </w:tabs>
        <w:autoSpaceDE w:val="0"/>
        <w:autoSpaceDN w:val="0"/>
        <w:adjustRightInd w:val="0"/>
        <w:spacing w:before="120" w:after="120" w:line="360" w:lineRule="auto"/>
        <w:ind w:left="425" w:hanging="425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>Kosztami kwalifikowalnymi nie są w szczególności:</w:t>
      </w:r>
    </w:p>
    <w:p w:rsidR="00793FBA" w:rsidRPr="00793FBA" w:rsidRDefault="00793FBA" w:rsidP="00793FBA">
      <w:pPr>
        <w:numPr>
          <w:ilvl w:val="0"/>
          <w:numId w:val="6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lastRenderedPageBreak/>
        <w:t>wsparcie</w:t>
      </w:r>
      <w:proofErr w:type="gramEnd"/>
      <w:r w:rsidRPr="00793FBA">
        <w:rPr>
          <w:rFonts w:asciiTheme="minorHAnsi" w:hAnsiTheme="minorHAnsi" w:cs="Arial"/>
        </w:rPr>
        <w:t xml:space="preserve"> finansowe gmin,</w:t>
      </w:r>
    </w:p>
    <w:p w:rsidR="00793FBA" w:rsidRPr="00793FBA" w:rsidRDefault="00793FBA" w:rsidP="00793FBA">
      <w:pPr>
        <w:numPr>
          <w:ilvl w:val="0"/>
          <w:numId w:val="6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amortyzacja</w:t>
      </w:r>
      <w:proofErr w:type="gramEnd"/>
      <w:r w:rsidRPr="00793FBA">
        <w:rPr>
          <w:rFonts w:asciiTheme="minorHAnsi" w:hAnsiTheme="minorHAnsi" w:cs="Arial"/>
        </w:rPr>
        <w:t xml:space="preserve"> środków trwałych,</w:t>
      </w:r>
    </w:p>
    <w:p w:rsidR="00793FBA" w:rsidRPr="00793FBA" w:rsidRDefault="00793FBA" w:rsidP="00793FBA">
      <w:pPr>
        <w:numPr>
          <w:ilvl w:val="0"/>
          <w:numId w:val="6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120" w:line="360" w:lineRule="auto"/>
        <w:ind w:left="709" w:hanging="284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finansowanie</w:t>
      </w:r>
      <w:proofErr w:type="gramEnd"/>
      <w:r w:rsidRPr="00793FBA">
        <w:rPr>
          <w:rFonts w:asciiTheme="minorHAnsi" w:hAnsiTheme="minorHAnsi" w:cs="Arial"/>
        </w:rPr>
        <w:t xml:space="preserve"> działalności niezwiązanej z realizacją Zadania i poza okresem kwalifikowalności,</w:t>
      </w:r>
    </w:p>
    <w:p w:rsidR="00793FBA" w:rsidRPr="00793FBA" w:rsidRDefault="00793FBA" w:rsidP="00793FBA">
      <w:pPr>
        <w:numPr>
          <w:ilvl w:val="0"/>
          <w:numId w:val="6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wydatki</w:t>
      </w:r>
      <w:proofErr w:type="gramEnd"/>
      <w:r w:rsidRPr="00793FBA">
        <w:rPr>
          <w:rFonts w:asciiTheme="minorHAnsi" w:hAnsiTheme="minorHAnsi" w:cs="Arial"/>
        </w:rPr>
        <w:t xml:space="preserve"> sfinansowane z innych źródeł, współfinansowanych ze środków publicznych,</w:t>
      </w:r>
    </w:p>
    <w:p w:rsidR="00793FBA" w:rsidRPr="00793FBA" w:rsidRDefault="00793FBA" w:rsidP="00793FBA">
      <w:pPr>
        <w:numPr>
          <w:ilvl w:val="0"/>
          <w:numId w:val="6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zakup</w:t>
      </w:r>
      <w:proofErr w:type="gramEnd"/>
      <w:r w:rsidRPr="00793FBA">
        <w:rPr>
          <w:rFonts w:asciiTheme="minorHAnsi" w:hAnsiTheme="minorHAnsi" w:cs="Arial"/>
        </w:rPr>
        <w:t xml:space="preserve"> i leasing środków trwałych,</w:t>
      </w:r>
    </w:p>
    <w:p w:rsidR="00793FBA" w:rsidRPr="00793FBA" w:rsidRDefault="00793FBA" w:rsidP="00793FBA">
      <w:pPr>
        <w:numPr>
          <w:ilvl w:val="0"/>
          <w:numId w:val="6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koszty</w:t>
      </w:r>
      <w:proofErr w:type="gramEnd"/>
      <w:r w:rsidRPr="00793FBA">
        <w:rPr>
          <w:rFonts w:asciiTheme="minorHAnsi" w:hAnsiTheme="minorHAnsi" w:cs="Arial"/>
        </w:rPr>
        <w:t xml:space="preserve"> stałe utrzymania biura (m.in. czynsz, koszty energii, wywozu nieczystości, ogrzewania, wody i ścieków),</w:t>
      </w:r>
    </w:p>
    <w:p w:rsidR="00793FBA" w:rsidRPr="00793FBA" w:rsidRDefault="00793FBA" w:rsidP="00793FBA">
      <w:pPr>
        <w:numPr>
          <w:ilvl w:val="0"/>
          <w:numId w:val="6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wyposażenie</w:t>
      </w:r>
      <w:proofErr w:type="gramEnd"/>
      <w:r w:rsidRPr="00793FBA">
        <w:rPr>
          <w:rFonts w:asciiTheme="minorHAnsi" w:hAnsiTheme="minorHAnsi" w:cs="Arial"/>
        </w:rPr>
        <w:t xml:space="preserve"> biura, np. meble,</w:t>
      </w:r>
    </w:p>
    <w:p w:rsidR="00793FBA" w:rsidRPr="00793FBA" w:rsidRDefault="00793FBA" w:rsidP="00793FBA">
      <w:pPr>
        <w:numPr>
          <w:ilvl w:val="0"/>
          <w:numId w:val="6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materiały</w:t>
      </w:r>
      <w:proofErr w:type="gramEnd"/>
      <w:r w:rsidRPr="00793FBA">
        <w:rPr>
          <w:rFonts w:asciiTheme="minorHAnsi" w:hAnsiTheme="minorHAnsi" w:cs="Arial"/>
        </w:rPr>
        <w:t xml:space="preserve"> biurowe i eksploatacyjne,</w:t>
      </w:r>
    </w:p>
    <w:p w:rsidR="00793FBA" w:rsidRPr="00793FBA" w:rsidRDefault="00793FBA" w:rsidP="00793FBA">
      <w:pPr>
        <w:numPr>
          <w:ilvl w:val="0"/>
          <w:numId w:val="6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sprzęt</w:t>
      </w:r>
      <w:proofErr w:type="gramEnd"/>
      <w:r w:rsidRPr="00793FBA">
        <w:rPr>
          <w:rFonts w:asciiTheme="minorHAnsi" w:hAnsiTheme="minorHAnsi" w:cs="Arial"/>
        </w:rPr>
        <w:t xml:space="preserve"> komputerowy,</w:t>
      </w:r>
    </w:p>
    <w:p w:rsidR="00793FBA" w:rsidRPr="00793FBA" w:rsidRDefault="00793FBA" w:rsidP="00793FBA">
      <w:pPr>
        <w:numPr>
          <w:ilvl w:val="0"/>
          <w:numId w:val="6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koszty</w:t>
      </w:r>
      <w:proofErr w:type="gramEnd"/>
      <w:r w:rsidRPr="00793FBA">
        <w:rPr>
          <w:rFonts w:asciiTheme="minorHAnsi" w:hAnsiTheme="minorHAnsi" w:cs="Arial"/>
        </w:rPr>
        <w:t xml:space="preserve"> budowy, przebudowy, rozbudowy, remontu,</w:t>
      </w:r>
    </w:p>
    <w:p w:rsidR="00793FBA" w:rsidRPr="00793FBA" w:rsidRDefault="00793FBA" w:rsidP="00793FBA">
      <w:pPr>
        <w:numPr>
          <w:ilvl w:val="0"/>
          <w:numId w:val="6"/>
        </w:numPr>
        <w:tabs>
          <w:tab w:val="clear" w:pos="1068"/>
          <w:tab w:val="num" w:pos="709"/>
        </w:tabs>
        <w:autoSpaceDE w:val="0"/>
        <w:autoSpaceDN w:val="0"/>
        <w:adjustRightInd w:val="0"/>
        <w:spacing w:after="120" w:line="360" w:lineRule="auto"/>
        <w:ind w:left="709" w:hanging="284"/>
        <w:jc w:val="both"/>
        <w:rPr>
          <w:rFonts w:asciiTheme="minorHAnsi" w:hAnsiTheme="minorHAnsi" w:cs="Arial"/>
        </w:rPr>
      </w:pPr>
      <w:proofErr w:type="gramStart"/>
      <w:r w:rsidRPr="00793FBA">
        <w:rPr>
          <w:rFonts w:asciiTheme="minorHAnsi" w:hAnsiTheme="minorHAnsi" w:cs="Arial"/>
        </w:rPr>
        <w:t>podatek</w:t>
      </w:r>
      <w:proofErr w:type="gramEnd"/>
      <w:r w:rsidRPr="00793FBA">
        <w:rPr>
          <w:rFonts w:asciiTheme="minorHAnsi" w:hAnsiTheme="minorHAnsi" w:cs="Arial"/>
        </w:rPr>
        <w:t xml:space="preserve"> od towarów i usług (VAT), jeśli może zostać odzyskany w oparciu o przepisy krajowe, tj. ustawę z dnia 11 marca 2004 r. o podatku od towarów i usług (Dz. U. </w:t>
      </w:r>
      <w:proofErr w:type="gramStart"/>
      <w:r w:rsidRPr="00793FBA">
        <w:rPr>
          <w:rFonts w:asciiTheme="minorHAnsi" w:hAnsiTheme="minorHAnsi" w:cs="Arial"/>
        </w:rPr>
        <w:t>z</w:t>
      </w:r>
      <w:proofErr w:type="gramEnd"/>
      <w:r w:rsidRPr="00793FBA">
        <w:rPr>
          <w:rFonts w:asciiTheme="minorHAnsi" w:hAnsiTheme="minorHAnsi" w:cs="Arial"/>
        </w:rPr>
        <w:t xml:space="preserve"> 2018 r. poz. 2174,z </w:t>
      </w:r>
      <w:proofErr w:type="spellStart"/>
      <w:r w:rsidRPr="00793FBA">
        <w:rPr>
          <w:rFonts w:asciiTheme="minorHAnsi" w:hAnsiTheme="minorHAnsi" w:cs="Arial"/>
        </w:rPr>
        <w:t>późn</w:t>
      </w:r>
      <w:proofErr w:type="spellEnd"/>
      <w:r w:rsidRPr="00793FBA">
        <w:rPr>
          <w:rFonts w:asciiTheme="minorHAnsi" w:hAnsiTheme="minorHAnsi" w:cs="Arial"/>
        </w:rPr>
        <w:t xml:space="preserve">. </w:t>
      </w:r>
      <w:proofErr w:type="gramStart"/>
      <w:r w:rsidRPr="00793FBA">
        <w:rPr>
          <w:rFonts w:asciiTheme="minorHAnsi" w:hAnsiTheme="minorHAnsi" w:cs="Arial"/>
        </w:rPr>
        <w:t>zm</w:t>
      </w:r>
      <w:proofErr w:type="gramEnd"/>
      <w:r w:rsidRPr="00793FBA">
        <w:rPr>
          <w:rFonts w:asciiTheme="minorHAnsi" w:hAnsiTheme="minorHAnsi" w:cs="Arial"/>
        </w:rPr>
        <w:t>.).</w:t>
      </w:r>
    </w:p>
    <w:p w:rsidR="00793FBA" w:rsidRPr="00793FBA" w:rsidRDefault="00793FBA" w:rsidP="00793FBA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  <w:b/>
          <w:bCs/>
        </w:rPr>
        <w:t>System płatności i sprawozdawczość</w:t>
      </w:r>
    </w:p>
    <w:p w:rsidR="00793FBA" w:rsidRPr="00793FBA" w:rsidRDefault="00793FBA" w:rsidP="00793FBA">
      <w:pPr>
        <w:spacing w:after="120" w:line="360" w:lineRule="auto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>Kwota dotacji celowej nie przekroczy 90% kosztów kwalifikowalnych realizacji Zadania. Województwo zobowiązuje się do wniesienia wkładu własnego, wynoszącego minimum 10 % kosztów kwalifikowalnych realizacji Zadania.</w:t>
      </w:r>
    </w:p>
    <w:p w:rsidR="00793FBA" w:rsidRPr="00793FBA" w:rsidRDefault="00793FBA" w:rsidP="00793FBA">
      <w:pPr>
        <w:spacing w:after="120" w:line="360" w:lineRule="auto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Województwo zgodnie z zapisami Umowy otrzymuje dotację celową w systemie zaliczkowym. Wyjątek stanowi ostatnia transza </w:t>
      </w:r>
      <w:proofErr w:type="gramStart"/>
      <w:r w:rsidRPr="00793FBA">
        <w:rPr>
          <w:rFonts w:asciiTheme="minorHAnsi" w:hAnsiTheme="minorHAnsi" w:cs="Arial"/>
        </w:rPr>
        <w:t>wypłacana jako</w:t>
      </w:r>
      <w:proofErr w:type="gramEnd"/>
      <w:r w:rsidRPr="00793FBA">
        <w:rPr>
          <w:rFonts w:asciiTheme="minorHAnsi" w:hAnsiTheme="minorHAnsi" w:cs="Arial"/>
        </w:rPr>
        <w:t xml:space="preserve"> refundacja poniesionych wydatków. </w:t>
      </w:r>
    </w:p>
    <w:p w:rsidR="00793FBA" w:rsidRPr="00793FBA" w:rsidRDefault="00793FBA" w:rsidP="00793FBA">
      <w:pPr>
        <w:spacing w:after="120" w:line="360" w:lineRule="auto"/>
        <w:jc w:val="both"/>
        <w:rPr>
          <w:rFonts w:asciiTheme="minorHAnsi" w:hAnsiTheme="minorHAnsi" w:cs="Arial"/>
        </w:rPr>
      </w:pPr>
      <w:r w:rsidRPr="00793FBA">
        <w:rPr>
          <w:rFonts w:asciiTheme="minorHAnsi" w:hAnsiTheme="minorHAnsi" w:cs="Arial"/>
        </w:rPr>
        <w:t xml:space="preserve">W sprawozdaniach z realizacji Zadania Województwo przedstawia do rozliczenia wydatki rzeczywiście poniesione w okresie sprawozdawczym. </w:t>
      </w:r>
    </w:p>
    <w:p w:rsidR="00793FBA" w:rsidRPr="00793FBA" w:rsidRDefault="00793FBA" w:rsidP="00793FBA">
      <w:pPr>
        <w:spacing w:after="120" w:line="360" w:lineRule="auto"/>
        <w:jc w:val="both"/>
        <w:rPr>
          <w:rFonts w:asciiTheme="minorHAnsi" w:hAnsiTheme="minorHAnsi" w:cs="Arial"/>
        </w:rPr>
      </w:pPr>
    </w:p>
    <w:p w:rsidR="00793FBA" w:rsidRPr="00793FBA" w:rsidRDefault="00793FBA" w:rsidP="00793FBA">
      <w:pPr>
        <w:spacing w:line="360" w:lineRule="auto"/>
        <w:rPr>
          <w:rFonts w:asciiTheme="minorHAnsi" w:hAnsiTheme="minorHAnsi"/>
        </w:rPr>
      </w:pPr>
    </w:p>
    <w:p w:rsidR="00C26B38" w:rsidRPr="00793FBA" w:rsidRDefault="00C26B38" w:rsidP="00793FBA">
      <w:pPr>
        <w:spacing w:line="360" w:lineRule="auto"/>
        <w:rPr>
          <w:rFonts w:asciiTheme="minorHAnsi" w:hAnsiTheme="minorHAnsi"/>
        </w:rPr>
      </w:pPr>
    </w:p>
    <w:sectPr w:rsidR="00C26B38" w:rsidRPr="00793FBA" w:rsidSect="00416D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DA8" w:rsidRDefault="00672DA8" w:rsidP="00793FBA">
      <w:pPr>
        <w:spacing w:after="0" w:line="240" w:lineRule="auto"/>
      </w:pPr>
      <w:r>
        <w:separator/>
      </w:r>
    </w:p>
  </w:endnote>
  <w:endnote w:type="continuationSeparator" w:id="0">
    <w:p w:rsidR="00672DA8" w:rsidRDefault="00672DA8" w:rsidP="0079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FBA" w:rsidRDefault="00793F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C6" w:rsidRDefault="00793FBA" w:rsidP="00793FBA">
    <w:pPr>
      <w:pStyle w:val="Stopka"/>
      <w:tabs>
        <w:tab w:val="left" w:pos="7501"/>
      </w:tabs>
      <w:jc w:val="right"/>
    </w:pPr>
    <w:r>
      <w:tab/>
    </w:r>
    <w:sdt>
      <w:sdtPr>
        <w:id w:val="1956433417"/>
        <w:docPartObj>
          <w:docPartGallery w:val="Page Numbers (Bottom of Page)"/>
          <w:docPartUnique/>
        </w:docPartObj>
      </w:sdtPr>
      <w:sdtEndPr/>
      <w:sdtContent>
        <w:r w:rsidR="00672DA8">
          <w:fldChar w:fldCharType="begin"/>
        </w:r>
        <w:r w:rsidR="00672DA8">
          <w:instrText>PAGE   \* MERGEFORMAT</w:instrText>
        </w:r>
        <w:r w:rsidR="00672DA8">
          <w:fldChar w:fldCharType="separate"/>
        </w:r>
        <w:r>
          <w:rPr>
            <w:noProof/>
          </w:rPr>
          <w:t>1</w:t>
        </w:r>
        <w:r w:rsidR="00672DA8">
          <w:rPr>
            <w:noProof/>
          </w:rPr>
          <w:fldChar w:fldCharType="end"/>
        </w:r>
      </w:sdtContent>
    </w:sdt>
    <w:r>
      <w:tab/>
    </w:r>
    <w:bookmarkStart w:id="0" w:name="_GoBack"/>
    <w:r>
      <w:rPr>
        <w:noProof/>
        <w:lang w:eastAsia="pl-PL"/>
      </w:rPr>
      <w:drawing>
        <wp:inline distT="0" distB="0" distL="0" distR="0" wp14:anchorId="706FAF8C" wp14:editId="07AE8347">
          <wp:extent cx="1133858" cy="448057"/>
          <wp:effectExtent l="0" t="0" r="0" b="9525"/>
          <wp:docPr id="13" name="Obraz 13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ir_stopka_sienkiewicza_6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58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5379C6" w:rsidRDefault="00672DA8" w:rsidP="0072218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83B35FD" wp14:editId="3292EF2C">
          <wp:extent cx="5760720" cy="619760"/>
          <wp:effectExtent l="0" t="0" r="0" b="8890"/>
          <wp:docPr id="2" name="Obraz 1" descr="FE POPT+UE czarno-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POPT+UE czarno-bi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FBA" w:rsidRDefault="00793F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DA8" w:rsidRDefault="00672DA8" w:rsidP="00793FBA">
      <w:pPr>
        <w:spacing w:after="0" w:line="240" w:lineRule="auto"/>
      </w:pPr>
      <w:r>
        <w:separator/>
      </w:r>
    </w:p>
  </w:footnote>
  <w:footnote w:type="continuationSeparator" w:id="0">
    <w:p w:rsidR="00672DA8" w:rsidRDefault="00672DA8" w:rsidP="00793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FBA" w:rsidRDefault="00793F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899" w:rsidRDefault="00672DA8">
    <w:pPr>
      <w:pStyle w:val="Nagwek"/>
      <w:rPr>
        <w:color w:val="000000"/>
        <w:lang w:eastAsia="pl-PL"/>
      </w:rPr>
    </w:pPr>
    <w:r>
      <w:rPr>
        <w:color w:val="000000"/>
        <w:lang w:eastAsia="pl-PL"/>
      </w:rPr>
      <w:fldChar w:fldCharType="begin"/>
    </w:r>
    <w:r>
      <w:rPr>
        <w:color w:val="000000"/>
        <w:lang w:eastAsia="pl-PL"/>
      </w:rPr>
      <w:instrText xml:space="preserve"> INCLUDEPICTURE  "cid:image005.jpg@01D6A92D.2112A1E0" \* MERGEFORMATINET </w:instrText>
    </w:r>
    <w:r>
      <w:rPr>
        <w:color w:val="000000"/>
        <w:lang w:eastAsia="pl-PL"/>
      </w:rPr>
      <w:fldChar w:fldCharType="separate"/>
    </w:r>
    <w:r>
      <w:rPr>
        <w:color w:val="000000"/>
        <w:lang w:eastAsia="pl-PL"/>
      </w:rPr>
      <w:fldChar w:fldCharType="begin"/>
    </w:r>
    <w:r>
      <w:rPr>
        <w:color w:val="000000"/>
        <w:lang w:eastAsia="pl-PL"/>
      </w:rPr>
      <w:instrText xml:space="preserve"> INCLUDEPICTURE  "cid:image005.jpg@01D6A92D.2112A1E0" \* MERGE</w:instrText>
    </w:r>
    <w:r>
      <w:rPr>
        <w:color w:val="000000"/>
        <w:lang w:eastAsia="pl-PL"/>
      </w:rPr>
      <w:instrText xml:space="preserve">FORMATINET </w:instrText>
    </w:r>
    <w:r>
      <w:rPr>
        <w:color w:val="000000"/>
        <w:lang w:eastAsia="pl-PL"/>
      </w:rPr>
      <w:fldChar w:fldCharType="separate"/>
    </w:r>
    <w:r>
      <w:rPr>
        <w:color w:val="000000"/>
        <w:lang w:eastAsia="pl-PL"/>
      </w:rPr>
      <w:fldChar w:fldCharType="begin"/>
    </w:r>
    <w:r>
      <w:rPr>
        <w:color w:val="000000"/>
        <w:lang w:eastAsia="pl-PL"/>
      </w:rPr>
      <w:instrText xml:space="preserve"> INCLUDEPICTURE  "cid:image005.jpg@01D6A92D.2112A1E0" \* MERGEFORMATINET </w:instrText>
    </w:r>
    <w:r>
      <w:rPr>
        <w:color w:val="000000"/>
        <w:lang w:eastAsia="pl-PL"/>
      </w:rPr>
      <w:fldChar w:fldCharType="separate"/>
    </w:r>
    <w:r>
      <w:rPr>
        <w:color w:val="000000"/>
        <w:lang w:eastAsia="pl-PL"/>
      </w:rPr>
      <w:fldChar w:fldCharType="begin"/>
    </w:r>
    <w:r>
      <w:rPr>
        <w:color w:val="000000"/>
        <w:lang w:eastAsia="pl-PL"/>
      </w:rPr>
      <w:instrText xml:space="preserve"> INCLUDEPICTURE  "cid:image005.jpg@01D6A92D.2112A1E0" \* MERGEFORMATINET </w:instrText>
    </w:r>
    <w:r>
      <w:rPr>
        <w:color w:val="000000"/>
        <w:lang w:eastAsia="pl-PL"/>
      </w:rPr>
      <w:fldChar w:fldCharType="separate"/>
    </w:r>
    <w:r>
      <w:rPr>
        <w:color w:val="000000"/>
        <w:lang w:eastAsia="pl-PL"/>
      </w:rPr>
      <w:fldChar w:fldCharType="begin"/>
    </w:r>
    <w:r>
      <w:rPr>
        <w:color w:val="000000"/>
        <w:lang w:eastAsia="pl-PL"/>
      </w:rPr>
      <w:instrText xml:space="preserve"> INCLUDEPICTURE  "cid:image005.jpg@01D6A92D.2112A1E0" \* MERGEFORMATINET </w:instrText>
    </w:r>
    <w:r>
      <w:rPr>
        <w:color w:val="000000"/>
        <w:lang w:eastAsia="pl-PL"/>
      </w:rPr>
      <w:fldChar w:fldCharType="separate"/>
    </w:r>
    <w:r>
      <w:rPr>
        <w:color w:val="000000"/>
        <w:lang w:eastAsia="pl-PL"/>
      </w:rPr>
      <w:fldChar w:fldCharType="begin"/>
    </w:r>
    <w:r>
      <w:rPr>
        <w:color w:val="000000"/>
        <w:lang w:eastAsia="pl-PL"/>
      </w:rPr>
      <w:instrText xml:space="preserve"> </w:instrText>
    </w:r>
    <w:r>
      <w:rPr>
        <w:color w:val="000000"/>
        <w:lang w:eastAsia="pl-PL"/>
      </w:rPr>
      <w:instrText>INCLUDEPICTURE  "cid:imag</w:instrText>
    </w:r>
    <w:r>
      <w:rPr>
        <w:color w:val="000000"/>
        <w:lang w:eastAsia="pl-PL"/>
      </w:rPr>
      <w:instrText>e005.jpg@01D6A92D.2112A1E0" \* MERGEFORMATINET</w:instrText>
    </w:r>
    <w:r>
      <w:rPr>
        <w:color w:val="000000"/>
        <w:lang w:eastAsia="pl-PL"/>
      </w:rPr>
      <w:instrText xml:space="preserve"> </w:instrText>
    </w:r>
    <w:r>
      <w:rPr>
        <w:color w:val="000000"/>
        <w:lang w:eastAsia="pl-PL"/>
      </w:rPr>
      <w:fldChar w:fldCharType="separate"/>
    </w:r>
    <w:r w:rsidR="00793FBA">
      <w:rPr>
        <w:color w:val="000000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Pole tekstowe zawiera logo Funduszy Europejskich z napisem po prawej stronie Pomoc Techniczna, flagę Polski z napiosem po prawej stronie Rzeczpospolita Polska, herb województwa świętokrzyskiego z napisem po prawej stronie województwo świętokrzyski, logo uni europejskiej z napisem po lewej stronie Unia Europejska Fundusz Spójności." style="width:453.3pt;height:44.45pt">
          <v:imagedata r:id="rId1" r:href="rId2"/>
        </v:shape>
      </w:pict>
    </w:r>
    <w:r>
      <w:rPr>
        <w:color w:val="000000"/>
        <w:lang w:eastAsia="pl-PL"/>
      </w:rPr>
      <w:fldChar w:fldCharType="end"/>
    </w:r>
    <w:r>
      <w:rPr>
        <w:color w:val="000000"/>
        <w:lang w:eastAsia="pl-PL"/>
      </w:rPr>
      <w:fldChar w:fldCharType="end"/>
    </w:r>
    <w:r>
      <w:rPr>
        <w:color w:val="000000"/>
        <w:lang w:eastAsia="pl-PL"/>
      </w:rPr>
      <w:fldChar w:fldCharType="end"/>
    </w:r>
    <w:r>
      <w:rPr>
        <w:color w:val="000000"/>
        <w:lang w:eastAsia="pl-PL"/>
      </w:rPr>
      <w:fldChar w:fldCharType="end"/>
    </w:r>
    <w:r>
      <w:rPr>
        <w:color w:val="000000"/>
        <w:lang w:eastAsia="pl-PL"/>
      </w:rPr>
      <w:fldChar w:fldCharType="end"/>
    </w:r>
    <w:r>
      <w:rPr>
        <w:color w:val="000000"/>
        <w:lang w:eastAsia="pl-PL"/>
      </w:rPr>
      <w:fldChar w:fldCharType="end"/>
    </w:r>
  </w:p>
  <w:p w:rsidR="00F21899" w:rsidRDefault="00672DA8">
    <w:pPr>
      <w:pStyle w:val="Nagwek"/>
      <w:rPr>
        <w:color w:val="000000"/>
        <w:lang w:eastAsia="pl-PL"/>
      </w:rPr>
    </w:pPr>
    <w:r>
      <w:rPr>
        <w:color w:val="000000"/>
        <w:lang w:eastAsia="pl-PL"/>
      </w:rPr>
      <w:fldChar w:fldCharType="begin"/>
    </w:r>
    <w:r>
      <w:rPr>
        <w:color w:val="000000"/>
        <w:lang w:eastAsia="pl-PL"/>
      </w:rPr>
      <w:instrText xml:space="preserve"> INCLUDEPICTURE  "cid:image006.png@01D6A92D.2112A1E0" \* MERGEFORMATINET </w:instrText>
    </w:r>
    <w:r>
      <w:rPr>
        <w:color w:val="000000"/>
        <w:lang w:eastAsia="pl-PL"/>
      </w:rPr>
      <w:fldChar w:fldCharType="separate"/>
    </w:r>
    <w:r>
      <w:rPr>
        <w:color w:val="000000"/>
        <w:lang w:eastAsia="pl-PL"/>
      </w:rPr>
      <w:fldChar w:fldCharType="begin"/>
    </w:r>
    <w:r>
      <w:rPr>
        <w:color w:val="000000"/>
        <w:lang w:eastAsia="pl-PL"/>
      </w:rPr>
      <w:instrText xml:space="preserve"> INCLUDEPICTURE  "cid:image006.png@01D6A92D.2112A1E0" \* MERGEFORMATINET </w:instrText>
    </w:r>
    <w:r>
      <w:rPr>
        <w:color w:val="000000"/>
        <w:lang w:eastAsia="pl-PL"/>
      </w:rPr>
      <w:fldChar w:fldCharType="separate"/>
    </w:r>
    <w:r>
      <w:rPr>
        <w:color w:val="000000"/>
        <w:lang w:eastAsia="pl-PL"/>
      </w:rPr>
      <w:fldChar w:fldCharType="begin"/>
    </w:r>
    <w:r>
      <w:rPr>
        <w:color w:val="000000"/>
        <w:lang w:eastAsia="pl-PL"/>
      </w:rPr>
      <w:instrText xml:space="preserve"> INCLUDEPICTURE  "cid:image006.png@01D6A92D</w:instrText>
    </w:r>
    <w:r>
      <w:rPr>
        <w:color w:val="000000"/>
        <w:lang w:eastAsia="pl-PL"/>
      </w:rPr>
      <w:instrText xml:space="preserve">.2112A1E0" \* MERGEFORMATINET </w:instrText>
    </w:r>
    <w:r>
      <w:rPr>
        <w:color w:val="000000"/>
        <w:lang w:eastAsia="pl-PL"/>
      </w:rPr>
      <w:fldChar w:fldCharType="separate"/>
    </w:r>
    <w:r>
      <w:rPr>
        <w:color w:val="000000"/>
        <w:lang w:eastAsia="pl-PL"/>
      </w:rPr>
      <w:fldChar w:fldCharType="begin"/>
    </w:r>
    <w:r>
      <w:rPr>
        <w:color w:val="000000"/>
        <w:lang w:eastAsia="pl-PL"/>
      </w:rPr>
      <w:instrText xml:space="preserve"> INCLUDEPICTURE  "cid:image006.png@01D6A92D.2112A1E0" \* MERGEFORMATINET </w:instrText>
    </w:r>
    <w:r>
      <w:rPr>
        <w:color w:val="000000"/>
        <w:lang w:eastAsia="pl-PL"/>
      </w:rPr>
      <w:fldChar w:fldCharType="separate"/>
    </w:r>
    <w:r>
      <w:rPr>
        <w:color w:val="000000"/>
        <w:lang w:eastAsia="pl-PL"/>
      </w:rPr>
      <w:fldChar w:fldCharType="begin"/>
    </w:r>
    <w:r>
      <w:rPr>
        <w:color w:val="000000"/>
        <w:lang w:eastAsia="pl-PL"/>
      </w:rPr>
      <w:instrText xml:space="preserve"> INCLUDEPICTURE  "cid:image006.png@01D6A92D.2112A1E0" \* MERGEFORMATINET </w:instrText>
    </w:r>
    <w:r>
      <w:rPr>
        <w:color w:val="000000"/>
        <w:lang w:eastAsia="pl-PL"/>
      </w:rPr>
      <w:fldChar w:fldCharType="separate"/>
    </w:r>
    <w:r>
      <w:rPr>
        <w:color w:val="000000"/>
        <w:lang w:eastAsia="pl-PL"/>
      </w:rPr>
      <w:fldChar w:fldCharType="begin"/>
    </w:r>
    <w:r>
      <w:rPr>
        <w:color w:val="000000"/>
        <w:lang w:eastAsia="pl-PL"/>
      </w:rPr>
      <w:instrText xml:space="preserve"> </w:instrText>
    </w:r>
    <w:r>
      <w:rPr>
        <w:color w:val="000000"/>
        <w:lang w:eastAsia="pl-PL"/>
      </w:rPr>
      <w:instrText>INCLUDEPICTURE  "cid:image006.png@01D6A92D.2112A1E0" \* MERGEFORMATINET</w:instrText>
    </w:r>
    <w:r>
      <w:rPr>
        <w:color w:val="000000"/>
        <w:lang w:eastAsia="pl-PL"/>
      </w:rPr>
      <w:instrText xml:space="preserve"> </w:instrText>
    </w:r>
    <w:r>
      <w:rPr>
        <w:color w:val="000000"/>
        <w:lang w:eastAsia="pl-PL"/>
      </w:rPr>
      <w:fldChar w:fldCharType="separate"/>
    </w:r>
    <w:r w:rsidR="00793FBA">
      <w:rPr>
        <w:color w:val="000000"/>
        <w:lang w:eastAsia="pl-PL"/>
      </w:rPr>
      <w:pict>
        <v:shape id="Obraz 2" o:spid="_x0000_i1026" type="#_x0000_t75" alt="Pole tekstowe zawiera napis: Projekt współfinansowany z Funduszu Spójności Unii Europejskiej w ramach Programu Pomoc Techniczna 2014-2020" style="width:453.9pt;height:22.55pt">
          <v:imagedata r:id="rId3" r:href="rId4"/>
        </v:shape>
      </w:pict>
    </w:r>
    <w:r>
      <w:rPr>
        <w:color w:val="000000"/>
        <w:lang w:eastAsia="pl-PL"/>
      </w:rPr>
      <w:fldChar w:fldCharType="end"/>
    </w:r>
    <w:r>
      <w:rPr>
        <w:color w:val="000000"/>
        <w:lang w:eastAsia="pl-PL"/>
      </w:rPr>
      <w:fldChar w:fldCharType="end"/>
    </w:r>
    <w:r>
      <w:rPr>
        <w:color w:val="000000"/>
        <w:lang w:eastAsia="pl-PL"/>
      </w:rPr>
      <w:fldChar w:fldCharType="end"/>
    </w:r>
    <w:r>
      <w:rPr>
        <w:color w:val="000000"/>
        <w:lang w:eastAsia="pl-PL"/>
      </w:rPr>
      <w:fldChar w:fldCharType="end"/>
    </w:r>
    <w:r>
      <w:rPr>
        <w:color w:val="000000"/>
        <w:lang w:eastAsia="pl-PL"/>
      </w:rPr>
      <w:fldChar w:fldCharType="end"/>
    </w:r>
    <w:r>
      <w:rPr>
        <w:color w:val="000000"/>
        <w:lang w:eastAsia="pl-PL"/>
      </w:rPr>
      <w:fldChar w:fldCharType="end"/>
    </w:r>
  </w:p>
  <w:p w:rsidR="00793FBA" w:rsidRDefault="00793FBA" w:rsidP="00793FBA">
    <w:pPr>
      <w:pStyle w:val="Nagwek"/>
      <w:jc w:val="right"/>
      <w:rPr>
        <w:color w:val="000000"/>
        <w:lang w:eastAsia="pl-PL"/>
      </w:rPr>
    </w:pPr>
    <w:r w:rsidRPr="000A1260">
      <w:rPr>
        <w:noProof/>
        <w:szCs w:val="20"/>
        <w:lang w:eastAsia="pl-PL"/>
      </w:rPr>
      <w:drawing>
        <wp:inline distT="0" distB="0" distL="0" distR="0" wp14:anchorId="20AE5BD2" wp14:editId="5C0547BA">
          <wp:extent cx="2170430" cy="540385"/>
          <wp:effectExtent l="0" t="0" r="1270" b="0"/>
          <wp:docPr id="3" name="Obraz 3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Inwestycji i Rozwoju&#10;ulica Sienkiewicza 63, 25-002 Kielce&#10;telefon 41 365 81 00, 41 365 81 70&#10;fax 41 365 81 01&#10;e-mail sekretariat.IR@sejmik.kielce.p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3FBA" w:rsidRDefault="00793FB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FBA" w:rsidRDefault="00793F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205"/>
    <w:multiLevelType w:val="hybridMultilevel"/>
    <w:tmpl w:val="338CCD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23E16CA"/>
    <w:multiLevelType w:val="hybridMultilevel"/>
    <w:tmpl w:val="F4F2AAB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BF66BB7"/>
    <w:multiLevelType w:val="hybridMultilevel"/>
    <w:tmpl w:val="18746A9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4643D3C"/>
    <w:multiLevelType w:val="hybridMultilevel"/>
    <w:tmpl w:val="CF30FB8C"/>
    <w:lvl w:ilvl="0" w:tplc="BB285D5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6432486"/>
    <w:multiLevelType w:val="hybridMultilevel"/>
    <w:tmpl w:val="C43CA56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C561A5C"/>
    <w:multiLevelType w:val="hybridMultilevel"/>
    <w:tmpl w:val="9F4C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D41F6"/>
    <w:multiLevelType w:val="hybridMultilevel"/>
    <w:tmpl w:val="0B645EFE"/>
    <w:lvl w:ilvl="0" w:tplc="04150017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260334"/>
    <w:multiLevelType w:val="hybridMultilevel"/>
    <w:tmpl w:val="7F660B80"/>
    <w:lvl w:ilvl="0" w:tplc="AADC5E6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0C96A1B"/>
    <w:multiLevelType w:val="hybridMultilevel"/>
    <w:tmpl w:val="D90412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E201DC2">
      <w:start w:val="1"/>
      <w:numFmt w:val="bullet"/>
      <w:lvlText w:val=""/>
      <w:lvlJc w:val="left"/>
      <w:pPr>
        <w:tabs>
          <w:tab w:val="num" w:pos="1504"/>
        </w:tabs>
        <w:ind w:left="1504" w:hanging="76"/>
      </w:pPr>
      <w:rPr>
        <w:rFonts w:ascii="Symbol" w:hAnsi="Symbol" w:cs="Symbol" w:hint="default"/>
      </w:rPr>
    </w:lvl>
    <w:lvl w:ilvl="2" w:tplc="0A4677C2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5106ECE"/>
    <w:multiLevelType w:val="hybridMultilevel"/>
    <w:tmpl w:val="324AB0CC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AE76417"/>
    <w:multiLevelType w:val="hybridMultilevel"/>
    <w:tmpl w:val="1B783A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EAE0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2A20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EBF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BCDC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00A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F23B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2E08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0D3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54B6B"/>
    <w:multiLevelType w:val="hybridMultilevel"/>
    <w:tmpl w:val="0616D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BA"/>
    <w:rsid w:val="00672DA8"/>
    <w:rsid w:val="00793FBA"/>
    <w:rsid w:val="00C2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E61D070-8B1F-45BE-A529-DCF07BBF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FBA"/>
    <w:pPr>
      <w:spacing w:after="200" w:line="276" w:lineRule="auto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ekst punktowanie,Numerowanie,List Paragraph,maz_wyliczenie,opis dzialania,K-P_odwolanie,A_wyliczenie,Akapit z listą5CxSpLast,Akapit z listą5,Akapit z listą 1,Kolorowa lista — akcent 11,Akapit z listą BS,BulletC"/>
    <w:basedOn w:val="Normalny"/>
    <w:link w:val="AkapitzlistZnak"/>
    <w:uiPriority w:val="34"/>
    <w:qFormat/>
    <w:rsid w:val="00793FBA"/>
    <w:pPr>
      <w:ind w:left="720"/>
    </w:pPr>
  </w:style>
  <w:style w:type="paragraph" w:styleId="Tekstpodstawowy2">
    <w:name w:val="Body Text 2"/>
    <w:basedOn w:val="Normalny"/>
    <w:link w:val="Tekstpodstawowy2Znak"/>
    <w:uiPriority w:val="99"/>
    <w:rsid w:val="00793FBA"/>
    <w:pPr>
      <w:spacing w:after="0" w:line="360" w:lineRule="auto"/>
      <w:jc w:val="both"/>
    </w:pPr>
    <w:rPr>
      <w:rFonts w:cstheme="minorBidi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93FBA"/>
    <w:rPr>
      <w:rFonts w:ascii="Calibri" w:eastAsiaTheme="minorEastAsia" w:hAnsi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3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FBA"/>
    <w:rPr>
      <w:rFonts w:ascii="Calibri" w:eastAsiaTheme="minorEastAsia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93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FBA"/>
    <w:rPr>
      <w:rFonts w:ascii="Calibri" w:eastAsiaTheme="minorEastAsia" w:hAnsi="Calibri" w:cs="Calibri"/>
    </w:rPr>
  </w:style>
  <w:style w:type="character" w:customStyle="1" w:styleId="AkapitzlistZnak">
    <w:name w:val="Akapit z listą Znak"/>
    <w:aliases w:val="Tekst punktowanie Znak,Numerowanie Znak,List Paragraph Znak,maz_wyliczenie Znak,opis dzialania Znak,K-P_odwolanie Znak,A_wyliczenie Znak,Akapit z listą5CxSpLast Znak,Akapit z listą5 Znak,Akapit z listą 1 Znak,Akapit z listą BS Znak"/>
    <w:link w:val="Akapitzlist"/>
    <w:uiPriority w:val="34"/>
    <w:locked/>
    <w:rsid w:val="00793FBA"/>
    <w:rPr>
      <w:rFonts w:ascii="Calibri" w:eastAsiaTheme="minorEastAsia" w:hAnsi="Calibri" w:cs="Calibri"/>
    </w:rPr>
  </w:style>
  <w:style w:type="character" w:styleId="Hipercze">
    <w:name w:val="Hyperlink"/>
    <w:basedOn w:val="Domylnaczcionkaakapitu"/>
    <w:uiPriority w:val="99"/>
    <w:unhideWhenUsed/>
    <w:rsid w:val="00793F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ewitalizacj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6A92D.2112A1E0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cid:image006.png@01D6A92D.2112A1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3292</Words>
  <Characters>19754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Ochwanowski, Piotr</dc:creator>
  <cp:keywords/>
  <dc:description/>
  <cp:lastModifiedBy>Ochwanowski, Piotr</cp:lastModifiedBy>
  <cp:revision>1</cp:revision>
  <cp:lastPrinted>2020-12-10T09:25:00Z</cp:lastPrinted>
  <dcterms:created xsi:type="dcterms:W3CDTF">2020-12-10T09:19:00Z</dcterms:created>
  <dcterms:modified xsi:type="dcterms:W3CDTF">2020-12-10T09:27:00Z</dcterms:modified>
</cp:coreProperties>
</file>